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5350" w14:textId="1D0A6CF5" w:rsidR="00CC2A8A" w:rsidRDefault="00B1549B" w:rsidP="00CC2A8A">
      <w:pPr>
        <w:spacing w:after="0" w:line="240" w:lineRule="auto"/>
        <w:ind w:left="360"/>
        <w:rPr>
          <w:rFonts w:cstheme="minorHAnsi"/>
          <w:b/>
          <w:bCs/>
          <w:color w:val="000000"/>
        </w:rPr>
      </w:pPr>
      <w:hyperlink r:id="rId5" w:history="1">
        <w:r w:rsidR="00CC2A8A" w:rsidRPr="00B1549B">
          <w:rPr>
            <w:rStyle w:val="Hyperlink"/>
            <w:rFonts w:cstheme="minorHAnsi"/>
            <w:b/>
            <w:bCs/>
          </w:rPr>
          <w:t>Quality Matters: QM Emergency Remote Instruction Checklist</w:t>
        </w:r>
      </w:hyperlink>
    </w:p>
    <w:p w14:paraId="1EBE10AC" w14:textId="77777777" w:rsidR="00CC2A8A" w:rsidRPr="00CC2A8A" w:rsidRDefault="00CC2A8A" w:rsidP="00CC2A8A">
      <w:pPr>
        <w:spacing w:after="0" w:line="240" w:lineRule="auto"/>
        <w:rPr>
          <w:rFonts w:cstheme="minorHAnsi"/>
          <w:color w:val="000000"/>
        </w:rPr>
      </w:pPr>
    </w:p>
    <w:p w14:paraId="4E13AA7E" w14:textId="5766D31E" w:rsidR="00CC2A8A" w:rsidRPr="00CC2A8A" w:rsidRDefault="00CC2A8A" w:rsidP="00CC2A8A">
      <w:pPr>
        <w:spacing w:after="0" w:line="240" w:lineRule="auto"/>
        <w:ind w:left="360"/>
        <w:rPr>
          <w:rFonts w:cstheme="minorHAnsi"/>
          <w:b/>
          <w:bCs/>
          <w:color w:val="000000"/>
        </w:rPr>
      </w:pPr>
      <w:r w:rsidRPr="00CC2A8A">
        <w:rPr>
          <w:rFonts w:cstheme="minorHAnsi"/>
          <w:b/>
          <w:bCs/>
          <w:color w:val="000000"/>
        </w:rPr>
        <w:t>START HERE:</w:t>
      </w:r>
    </w:p>
    <w:p w14:paraId="458DE889" w14:textId="5CB60611" w:rsidR="00730587" w:rsidRPr="00CC2A8A" w:rsidRDefault="00CC2A8A" w:rsidP="00CC2A8A">
      <w:pPr>
        <w:pStyle w:val="ListParagraph"/>
        <w:numPr>
          <w:ilvl w:val="0"/>
          <w:numId w:val="14"/>
        </w:numPr>
        <w:spacing w:after="120" w:line="240" w:lineRule="auto"/>
        <w:contextualSpacing w:val="0"/>
        <w:rPr>
          <w:rFonts w:cstheme="minorHAnsi"/>
          <w:color w:val="000000"/>
        </w:rPr>
      </w:pPr>
      <w:r w:rsidRPr="00CC2A8A">
        <w:rPr>
          <w:rFonts w:cstheme="minorHAnsi"/>
          <w:color w:val="000000"/>
        </w:rPr>
        <w:t>Provide explicit directions and comparisons of the structure of the online version with the F2F version, clearly identifying where students can find course components and what they should do to get started.</w:t>
      </w:r>
    </w:p>
    <w:p w14:paraId="0E67A80B" w14:textId="146ED699" w:rsidR="00CC2A8A" w:rsidRPr="00CC2A8A" w:rsidRDefault="00CC2A8A" w:rsidP="00CC2A8A">
      <w:pPr>
        <w:pStyle w:val="c8"/>
        <w:numPr>
          <w:ilvl w:val="0"/>
          <w:numId w:val="14"/>
        </w:numPr>
        <w:spacing w:before="0" w:beforeAutospacing="0" w:after="120" w:afterAutospacing="0"/>
        <w:ind w:right="140"/>
        <w:rPr>
          <w:rFonts w:asciiTheme="minorHAnsi" w:hAnsiTheme="minorHAnsi" w:cstheme="minorHAnsi"/>
          <w:color w:val="000000"/>
          <w:sz w:val="22"/>
          <w:szCs w:val="22"/>
        </w:rPr>
      </w:pPr>
      <w:r w:rsidRPr="00CC2A8A">
        <w:rPr>
          <w:rStyle w:val="c1"/>
          <w:rFonts w:asciiTheme="minorHAnsi" w:hAnsiTheme="minorHAnsi" w:cstheme="minorHAnsi"/>
          <w:color w:val="000000"/>
          <w:sz w:val="22"/>
          <w:szCs w:val="22"/>
        </w:rPr>
        <w:t>Address communication and interaction expectations.</w:t>
      </w:r>
      <w:r>
        <w:rPr>
          <w:rFonts w:asciiTheme="minorHAnsi" w:hAnsiTheme="minorHAnsi" w:cstheme="minorHAnsi"/>
          <w:color w:val="000000"/>
          <w:sz w:val="22"/>
          <w:szCs w:val="22"/>
        </w:rPr>
        <w:t xml:space="preserve">  </w:t>
      </w:r>
      <w:r w:rsidRPr="00CC2A8A">
        <w:rPr>
          <w:rStyle w:val="c4"/>
          <w:rFonts w:asciiTheme="minorHAnsi" w:hAnsiTheme="minorHAnsi" w:cstheme="minorHAnsi"/>
          <w:color w:val="000000"/>
          <w:sz w:val="22"/>
          <w:szCs w:val="22"/>
        </w:rPr>
        <w:t>Explain to students how they should contact you (email, via online office hours, through the LMS, etc.), how often they should log in to the class site, which activities are synchronous vs. asynchronous, and any guidelines for communicating with peers (e.g., professional communication, “Netiquette”, etc.).</w:t>
      </w:r>
    </w:p>
    <w:p w14:paraId="6BAD88AE" w14:textId="1940280C" w:rsidR="00CC2A8A" w:rsidRPr="00CC2A8A" w:rsidRDefault="00CC2A8A" w:rsidP="00CC2A8A">
      <w:pPr>
        <w:pStyle w:val="c8"/>
        <w:numPr>
          <w:ilvl w:val="0"/>
          <w:numId w:val="14"/>
        </w:numPr>
        <w:spacing w:before="0" w:beforeAutospacing="0" w:after="120" w:afterAutospacing="0"/>
        <w:ind w:right="140"/>
        <w:rPr>
          <w:rFonts w:asciiTheme="minorHAnsi" w:hAnsiTheme="minorHAnsi" w:cstheme="minorHAnsi"/>
          <w:color w:val="000000"/>
          <w:sz w:val="22"/>
          <w:szCs w:val="22"/>
        </w:rPr>
      </w:pPr>
      <w:r w:rsidRPr="00CC2A8A">
        <w:rPr>
          <w:rStyle w:val="c1"/>
          <w:rFonts w:asciiTheme="minorHAnsi" w:hAnsiTheme="minorHAnsi" w:cstheme="minorHAnsi"/>
          <w:color w:val="000000"/>
          <w:sz w:val="22"/>
          <w:szCs w:val="22"/>
        </w:rPr>
        <w:t>Tell learners what to expect from you and when to expect it.</w:t>
      </w:r>
      <w:r>
        <w:rPr>
          <w:rFonts w:asciiTheme="minorHAnsi" w:hAnsiTheme="minorHAnsi" w:cstheme="minorHAnsi"/>
          <w:color w:val="000000"/>
          <w:sz w:val="22"/>
          <w:szCs w:val="22"/>
        </w:rPr>
        <w:t xml:space="preserve">  </w:t>
      </w:r>
      <w:r w:rsidRPr="00CC2A8A">
        <w:rPr>
          <w:rStyle w:val="c4"/>
          <w:rFonts w:asciiTheme="minorHAnsi" w:hAnsiTheme="minorHAnsi" w:cstheme="minorHAnsi"/>
          <w:color w:val="000000"/>
          <w:sz w:val="22"/>
          <w:szCs w:val="22"/>
        </w:rPr>
        <w:t>Tell students when they will receive an answer to an emailed question (e.g., 24 hours, 48 hours, etc.) and when they can expect assignment grades and feedback.</w:t>
      </w:r>
    </w:p>
    <w:p w14:paraId="62E2C49E" w14:textId="5257D6A5" w:rsidR="00CC2A8A" w:rsidRPr="00CC2A8A" w:rsidRDefault="00CC2A8A" w:rsidP="00CC2A8A">
      <w:pPr>
        <w:pStyle w:val="ListParagraph"/>
        <w:numPr>
          <w:ilvl w:val="0"/>
          <w:numId w:val="14"/>
        </w:numPr>
        <w:spacing w:after="120" w:line="240" w:lineRule="auto"/>
        <w:contextualSpacing w:val="0"/>
        <w:rPr>
          <w:rFonts w:cstheme="minorHAnsi"/>
          <w:color w:val="000000"/>
        </w:rPr>
      </w:pPr>
      <w:r w:rsidRPr="00CC2A8A">
        <w:rPr>
          <w:rFonts w:cstheme="minorHAnsi"/>
          <w:color w:val="000000"/>
        </w:rPr>
        <w:t>Provide instructions on how learners can access their grades.</w:t>
      </w:r>
    </w:p>
    <w:p w14:paraId="1995061A" w14:textId="5E80037C" w:rsidR="00CC2A8A" w:rsidRPr="00CC2A8A" w:rsidRDefault="00CC2A8A" w:rsidP="00CC2A8A">
      <w:pPr>
        <w:pStyle w:val="c8"/>
        <w:numPr>
          <w:ilvl w:val="0"/>
          <w:numId w:val="14"/>
        </w:numPr>
        <w:spacing w:before="0" w:beforeAutospacing="0" w:after="120" w:afterAutospacing="0"/>
        <w:ind w:right="140"/>
        <w:rPr>
          <w:rFonts w:asciiTheme="minorHAnsi" w:hAnsiTheme="minorHAnsi" w:cstheme="minorHAnsi"/>
          <w:color w:val="000000"/>
          <w:sz w:val="22"/>
          <w:szCs w:val="22"/>
        </w:rPr>
      </w:pPr>
      <w:r w:rsidRPr="00CC2A8A">
        <w:rPr>
          <w:rStyle w:val="c1"/>
          <w:rFonts w:asciiTheme="minorHAnsi" w:hAnsiTheme="minorHAnsi" w:cstheme="minorHAnsi"/>
          <w:color w:val="000000"/>
          <w:sz w:val="22"/>
          <w:szCs w:val="22"/>
        </w:rPr>
        <w:t>Directly identify any relevant changes to any course and institutional policies.</w:t>
      </w:r>
      <w:r>
        <w:rPr>
          <w:rFonts w:asciiTheme="minorHAnsi" w:hAnsiTheme="minorHAnsi" w:cstheme="minorHAnsi"/>
          <w:color w:val="000000"/>
          <w:sz w:val="22"/>
          <w:szCs w:val="22"/>
        </w:rPr>
        <w:t xml:space="preserve">  </w:t>
      </w:r>
      <w:r w:rsidRPr="00CC2A8A">
        <w:rPr>
          <w:rStyle w:val="c4"/>
          <w:rFonts w:asciiTheme="minorHAnsi" w:hAnsiTheme="minorHAnsi" w:cstheme="minorHAnsi"/>
          <w:color w:val="000000"/>
          <w:sz w:val="22"/>
          <w:szCs w:val="22"/>
        </w:rPr>
        <w:t>Let students know immediately if there are changes to due dates/times for assignments.</w:t>
      </w:r>
    </w:p>
    <w:p w14:paraId="7FFCF1F3" w14:textId="325DC512" w:rsidR="00CC2A8A" w:rsidRPr="00CC2A8A" w:rsidRDefault="00CC2A8A" w:rsidP="00CC2A8A">
      <w:pPr>
        <w:pStyle w:val="ListParagraph"/>
        <w:numPr>
          <w:ilvl w:val="0"/>
          <w:numId w:val="14"/>
        </w:numPr>
        <w:spacing w:after="120" w:line="240" w:lineRule="auto"/>
        <w:contextualSpacing w:val="0"/>
        <w:rPr>
          <w:rFonts w:cstheme="minorHAnsi"/>
          <w:color w:val="000000"/>
        </w:rPr>
      </w:pPr>
      <w:r w:rsidRPr="00CC2A8A">
        <w:rPr>
          <w:rFonts w:cstheme="minorHAnsi"/>
          <w:color w:val="000000"/>
        </w:rPr>
        <w:t>Identify where you and your students can receive prompt support for technology used in the course and inform students in advance about what technologies they will need to acquire and/or use, and how to find support.</w:t>
      </w:r>
    </w:p>
    <w:p w14:paraId="5270CEE9" w14:textId="34059B1E" w:rsidR="00CC2A8A" w:rsidRPr="00CC2A8A" w:rsidRDefault="00CC2A8A" w:rsidP="00CC2A8A">
      <w:pPr>
        <w:pStyle w:val="ListParagraph"/>
        <w:numPr>
          <w:ilvl w:val="0"/>
          <w:numId w:val="14"/>
        </w:numPr>
        <w:spacing w:after="120" w:line="240" w:lineRule="auto"/>
        <w:contextualSpacing w:val="0"/>
        <w:rPr>
          <w:rFonts w:cstheme="minorHAnsi"/>
          <w:color w:val="000000"/>
        </w:rPr>
      </w:pPr>
      <w:r w:rsidRPr="00CC2A8A">
        <w:rPr>
          <w:rFonts w:cstheme="minorHAnsi"/>
          <w:color w:val="000000"/>
        </w:rPr>
        <w:t>Articulate quick and easy ways for learners to find appropriate academic or student services support offices and resources.</w:t>
      </w:r>
    </w:p>
    <w:p w14:paraId="11116794" w14:textId="3F543C86" w:rsidR="00CC2A8A" w:rsidRPr="00CC2A8A" w:rsidRDefault="00CC2A8A" w:rsidP="00CC2A8A">
      <w:pPr>
        <w:pStyle w:val="ListParagraph"/>
        <w:numPr>
          <w:ilvl w:val="0"/>
          <w:numId w:val="14"/>
        </w:numPr>
        <w:spacing w:after="120" w:line="240" w:lineRule="auto"/>
        <w:contextualSpacing w:val="0"/>
        <w:rPr>
          <w:rFonts w:cstheme="minorHAnsi"/>
          <w:color w:val="000000"/>
        </w:rPr>
      </w:pPr>
      <w:r w:rsidRPr="00CC2A8A">
        <w:rPr>
          <w:rFonts w:cstheme="minorHAnsi"/>
          <w:color w:val="000000"/>
        </w:rPr>
        <w:t>Explain to students how to access the institution’s accessibility services and be responsive to learners who n</w:t>
      </w:r>
      <w:bookmarkStart w:id="0" w:name="_GoBack"/>
      <w:bookmarkEnd w:id="0"/>
      <w:r w:rsidRPr="00CC2A8A">
        <w:rPr>
          <w:rFonts w:cstheme="minorHAnsi"/>
          <w:color w:val="000000"/>
        </w:rPr>
        <w:t>eed assistance in accessing digital course materials.</w:t>
      </w:r>
    </w:p>
    <w:p w14:paraId="1DA2A7A4" w14:textId="0405F295" w:rsidR="00CC2A8A" w:rsidRPr="00CC2A8A" w:rsidRDefault="00CC2A8A" w:rsidP="00CC2A8A">
      <w:pPr>
        <w:spacing w:after="0" w:line="240" w:lineRule="auto"/>
        <w:rPr>
          <w:rFonts w:cstheme="minorHAnsi"/>
          <w:color w:val="000000"/>
        </w:rPr>
      </w:pPr>
    </w:p>
    <w:p w14:paraId="7337F3DA" w14:textId="4CB45751" w:rsidR="00CC2A8A" w:rsidRPr="00CC2A8A" w:rsidRDefault="00CC2A8A" w:rsidP="00CC2A8A">
      <w:pPr>
        <w:spacing w:after="0" w:line="240" w:lineRule="auto"/>
        <w:ind w:left="360"/>
        <w:rPr>
          <w:rFonts w:cstheme="minorHAnsi"/>
          <w:b/>
          <w:bCs/>
          <w:color w:val="000000"/>
        </w:rPr>
      </w:pPr>
      <w:r w:rsidRPr="00CC2A8A">
        <w:rPr>
          <w:rFonts w:cstheme="minorHAnsi"/>
          <w:b/>
          <w:bCs/>
          <w:color w:val="000000"/>
        </w:rPr>
        <w:t>NEXT STEPS:</w:t>
      </w:r>
    </w:p>
    <w:p w14:paraId="1717A2FF" w14:textId="77777777" w:rsidR="00CC2A8A" w:rsidRPr="00CC2A8A" w:rsidRDefault="00CC2A8A" w:rsidP="00CC2A8A">
      <w:pPr>
        <w:pStyle w:val="c8"/>
        <w:numPr>
          <w:ilvl w:val="0"/>
          <w:numId w:val="15"/>
        </w:numPr>
        <w:spacing w:before="0" w:beforeAutospacing="0" w:after="120" w:afterAutospacing="0"/>
        <w:ind w:right="144"/>
        <w:rPr>
          <w:rFonts w:asciiTheme="minorHAnsi" w:hAnsiTheme="minorHAnsi" w:cstheme="minorHAnsi"/>
          <w:color w:val="000000"/>
          <w:sz w:val="22"/>
          <w:szCs w:val="22"/>
        </w:rPr>
      </w:pPr>
      <w:r w:rsidRPr="00CC2A8A">
        <w:rPr>
          <w:rStyle w:val="c1"/>
          <w:rFonts w:asciiTheme="minorHAnsi" w:hAnsiTheme="minorHAnsi" w:cstheme="minorHAnsi"/>
          <w:color w:val="000000"/>
          <w:sz w:val="22"/>
          <w:szCs w:val="22"/>
        </w:rPr>
        <w:t>Create a sense of community by encouraging and guiding learners to introduce themselves in the online classroom/platform and/or engage in online discussions.</w:t>
      </w:r>
    </w:p>
    <w:p w14:paraId="007EBA42" w14:textId="77777777" w:rsidR="00CC2A8A" w:rsidRPr="00CC2A8A" w:rsidRDefault="00CC2A8A" w:rsidP="00CC2A8A">
      <w:pPr>
        <w:pStyle w:val="c8"/>
        <w:numPr>
          <w:ilvl w:val="0"/>
          <w:numId w:val="15"/>
        </w:numPr>
        <w:spacing w:before="0" w:beforeAutospacing="0" w:after="120" w:afterAutospacing="0"/>
        <w:ind w:right="144"/>
        <w:rPr>
          <w:rFonts w:asciiTheme="minorHAnsi" w:hAnsiTheme="minorHAnsi" w:cstheme="minorHAnsi"/>
          <w:color w:val="000000"/>
          <w:sz w:val="22"/>
          <w:szCs w:val="22"/>
        </w:rPr>
      </w:pPr>
      <w:r w:rsidRPr="00CC2A8A">
        <w:rPr>
          <w:rStyle w:val="c1"/>
          <w:rFonts w:asciiTheme="minorHAnsi" w:hAnsiTheme="minorHAnsi" w:cstheme="minorHAnsi"/>
          <w:color w:val="000000"/>
          <w:sz w:val="22"/>
          <w:szCs w:val="22"/>
        </w:rPr>
        <w:t>Explain to your students how the learning materials help them complete courses activities and achieve the course learning objectives.  </w:t>
      </w:r>
    </w:p>
    <w:p w14:paraId="6ABDBC9E" w14:textId="77777777" w:rsidR="00CC2A8A" w:rsidRPr="00CC2A8A" w:rsidRDefault="00CC2A8A" w:rsidP="00CC2A8A">
      <w:pPr>
        <w:pStyle w:val="c8"/>
        <w:numPr>
          <w:ilvl w:val="0"/>
          <w:numId w:val="15"/>
        </w:numPr>
        <w:spacing w:before="0" w:beforeAutospacing="0" w:after="120" w:afterAutospacing="0"/>
        <w:ind w:right="144"/>
        <w:rPr>
          <w:rFonts w:asciiTheme="minorHAnsi" w:hAnsiTheme="minorHAnsi" w:cstheme="minorHAnsi"/>
          <w:color w:val="000000"/>
          <w:sz w:val="22"/>
          <w:szCs w:val="22"/>
        </w:rPr>
      </w:pPr>
      <w:r w:rsidRPr="00CC2A8A">
        <w:rPr>
          <w:rStyle w:val="c1"/>
          <w:rFonts w:asciiTheme="minorHAnsi" w:hAnsiTheme="minorHAnsi" w:cstheme="minorHAnsi"/>
          <w:color w:val="000000"/>
          <w:sz w:val="22"/>
          <w:szCs w:val="22"/>
        </w:rPr>
        <w:t>Specifically explain how each activity or assignment is related to the course objectives and how you will evaluate submitted work.</w:t>
      </w:r>
    </w:p>
    <w:p w14:paraId="664346DD" w14:textId="77777777" w:rsidR="00CC2A8A" w:rsidRPr="00CC2A8A" w:rsidRDefault="00CC2A8A" w:rsidP="00CC2A8A">
      <w:pPr>
        <w:pStyle w:val="c8"/>
        <w:numPr>
          <w:ilvl w:val="0"/>
          <w:numId w:val="15"/>
        </w:numPr>
        <w:spacing w:before="0" w:beforeAutospacing="0" w:after="120" w:afterAutospacing="0"/>
        <w:ind w:right="144"/>
        <w:rPr>
          <w:rFonts w:asciiTheme="minorHAnsi" w:hAnsiTheme="minorHAnsi" w:cstheme="minorHAnsi"/>
          <w:color w:val="000000"/>
          <w:sz w:val="22"/>
          <w:szCs w:val="22"/>
        </w:rPr>
      </w:pPr>
      <w:r w:rsidRPr="00CC2A8A">
        <w:rPr>
          <w:rStyle w:val="c1"/>
          <w:rFonts w:asciiTheme="minorHAnsi" w:hAnsiTheme="minorHAnsi" w:cstheme="minorHAnsi"/>
          <w:color w:val="000000"/>
          <w:sz w:val="22"/>
          <w:szCs w:val="22"/>
        </w:rPr>
        <w:t>Provide learners with timely feedback to enable them to track their learning progress.</w:t>
      </w:r>
    </w:p>
    <w:p w14:paraId="0629E9F7" w14:textId="77777777" w:rsidR="00CC2A8A" w:rsidRDefault="00CC2A8A" w:rsidP="00CC2A8A">
      <w:pPr>
        <w:spacing w:after="0" w:line="240" w:lineRule="auto"/>
        <w:ind w:left="360"/>
        <w:rPr>
          <w:rFonts w:cstheme="minorHAnsi"/>
          <w:color w:val="000000"/>
          <w:shd w:val="clear" w:color="auto" w:fill="EFEFEF"/>
        </w:rPr>
      </w:pPr>
    </w:p>
    <w:p w14:paraId="3D86AA40" w14:textId="24C7202B" w:rsidR="00CC2A8A" w:rsidRPr="00CC2A8A" w:rsidRDefault="00CC2A8A" w:rsidP="00CC2A8A">
      <w:pPr>
        <w:spacing w:after="0" w:line="240" w:lineRule="auto"/>
        <w:ind w:left="360"/>
        <w:rPr>
          <w:rFonts w:cstheme="minorHAnsi"/>
          <w:b/>
          <w:bCs/>
          <w:color w:val="000000"/>
          <w:shd w:val="clear" w:color="auto" w:fill="EFEFEF"/>
        </w:rPr>
      </w:pPr>
      <w:r w:rsidRPr="00F57731">
        <w:rPr>
          <w:rFonts w:cstheme="minorHAnsi"/>
          <w:b/>
          <w:bCs/>
          <w:color w:val="000000"/>
          <w:shd w:val="clear" w:color="auto" w:fill="EFEFEF"/>
        </w:rPr>
        <w:t>LONGER TERM CONSIDERATIONS:</w:t>
      </w:r>
    </w:p>
    <w:p w14:paraId="497B3E3B" w14:textId="77777777" w:rsidR="00CC2A8A" w:rsidRPr="00CC2A8A" w:rsidRDefault="00CC2A8A" w:rsidP="00F57731">
      <w:pPr>
        <w:pStyle w:val="c8"/>
        <w:numPr>
          <w:ilvl w:val="0"/>
          <w:numId w:val="19"/>
        </w:numPr>
        <w:spacing w:before="0" w:beforeAutospacing="0" w:after="120" w:afterAutospacing="0"/>
        <w:ind w:right="144"/>
        <w:rPr>
          <w:rFonts w:asciiTheme="minorHAnsi" w:hAnsiTheme="minorHAnsi" w:cstheme="minorHAnsi"/>
          <w:color w:val="000000"/>
          <w:sz w:val="22"/>
          <w:szCs w:val="22"/>
        </w:rPr>
      </w:pPr>
      <w:r w:rsidRPr="00CC2A8A">
        <w:rPr>
          <w:rStyle w:val="c1"/>
          <w:rFonts w:asciiTheme="minorHAnsi" w:hAnsiTheme="minorHAnsi" w:cstheme="minorHAnsi"/>
          <w:color w:val="000000"/>
          <w:sz w:val="22"/>
          <w:szCs w:val="22"/>
        </w:rPr>
        <w:t>Consider using short multimedia pieces for interaction, and make sure students have easy access to any software, plugs-ins, etc. they’ll need to access the multimedia content.</w:t>
      </w:r>
    </w:p>
    <w:p w14:paraId="0CADAD77" w14:textId="77777777" w:rsidR="00CC2A8A" w:rsidRPr="00CC2A8A" w:rsidRDefault="00CC2A8A" w:rsidP="00F57731">
      <w:pPr>
        <w:pStyle w:val="c20"/>
        <w:numPr>
          <w:ilvl w:val="0"/>
          <w:numId w:val="19"/>
        </w:numPr>
        <w:spacing w:before="0" w:beforeAutospacing="0" w:after="120" w:afterAutospacing="0"/>
        <w:ind w:right="144"/>
        <w:rPr>
          <w:rFonts w:asciiTheme="minorHAnsi" w:hAnsiTheme="minorHAnsi" w:cstheme="minorHAnsi"/>
          <w:color w:val="000000"/>
          <w:sz w:val="22"/>
          <w:szCs w:val="22"/>
        </w:rPr>
      </w:pPr>
      <w:r w:rsidRPr="00CC2A8A">
        <w:rPr>
          <w:rStyle w:val="c1"/>
          <w:rFonts w:asciiTheme="minorHAnsi" w:hAnsiTheme="minorHAnsi" w:cstheme="minorHAnsi"/>
          <w:color w:val="000000"/>
          <w:sz w:val="22"/>
          <w:szCs w:val="22"/>
        </w:rPr>
        <w:t>Organize your course online to guide students along the learning path and help them progressively navigate through the course each week.</w:t>
      </w:r>
    </w:p>
    <w:p w14:paraId="3A49239E" w14:textId="77777777" w:rsidR="00CC2A8A" w:rsidRPr="00CC2A8A" w:rsidRDefault="00CC2A8A" w:rsidP="00F57731">
      <w:pPr>
        <w:pStyle w:val="c8"/>
        <w:numPr>
          <w:ilvl w:val="0"/>
          <w:numId w:val="19"/>
        </w:numPr>
        <w:spacing w:before="0" w:beforeAutospacing="0" w:after="120" w:afterAutospacing="0"/>
        <w:ind w:right="144"/>
        <w:rPr>
          <w:rFonts w:asciiTheme="minorHAnsi" w:hAnsiTheme="minorHAnsi" w:cstheme="minorHAnsi"/>
          <w:color w:val="000000"/>
          <w:sz w:val="22"/>
          <w:szCs w:val="22"/>
        </w:rPr>
      </w:pPr>
      <w:r w:rsidRPr="00CC2A8A">
        <w:rPr>
          <w:rStyle w:val="c1"/>
          <w:rFonts w:asciiTheme="minorHAnsi" w:hAnsiTheme="minorHAnsi" w:cstheme="minorHAnsi"/>
          <w:color w:val="000000"/>
          <w:sz w:val="22"/>
          <w:szCs w:val="22"/>
        </w:rPr>
        <w:t>Plan active learning opportunities and use course tools to meaningfully facilitate learners’ interaction and active learning.</w:t>
      </w:r>
    </w:p>
    <w:p w14:paraId="0DD7F077" w14:textId="77777777" w:rsidR="00CC2A8A" w:rsidRPr="00CC2A8A" w:rsidRDefault="00CC2A8A" w:rsidP="00F57731">
      <w:pPr>
        <w:pStyle w:val="c8"/>
        <w:numPr>
          <w:ilvl w:val="0"/>
          <w:numId w:val="19"/>
        </w:numPr>
        <w:spacing w:before="0" w:beforeAutospacing="0" w:after="120" w:afterAutospacing="0"/>
        <w:ind w:right="140"/>
        <w:rPr>
          <w:rFonts w:asciiTheme="minorHAnsi" w:hAnsiTheme="minorHAnsi" w:cstheme="minorHAnsi"/>
          <w:color w:val="000000"/>
          <w:sz w:val="22"/>
          <w:szCs w:val="22"/>
        </w:rPr>
      </w:pPr>
      <w:r w:rsidRPr="00CC2A8A">
        <w:rPr>
          <w:rStyle w:val="c1"/>
          <w:rFonts w:asciiTheme="minorHAnsi" w:hAnsiTheme="minorHAnsi" w:cstheme="minorHAnsi"/>
          <w:color w:val="000000"/>
          <w:sz w:val="22"/>
          <w:szCs w:val="22"/>
        </w:rPr>
        <w:lastRenderedPageBreak/>
        <w:t>Provide learners with information on protecting their data and privacy for tools introduced or recommended throughout the course.</w:t>
      </w:r>
    </w:p>
    <w:p w14:paraId="2FD29602" w14:textId="77777777" w:rsidR="00CC2A8A" w:rsidRPr="00CC2A8A" w:rsidRDefault="00CC2A8A" w:rsidP="00F57731">
      <w:pPr>
        <w:pStyle w:val="c8"/>
        <w:numPr>
          <w:ilvl w:val="0"/>
          <w:numId w:val="19"/>
        </w:numPr>
        <w:spacing w:before="0" w:beforeAutospacing="0" w:after="120" w:afterAutospacing="0"/>
        <w:ind w:right="140"/>
        <w:rPr>
          <w:rFonts w:asciiTheme="minorHAnsi" w:hAnsiTheme="minorHAnsi" w:cstheme="minorHAnsi"/>
          <w:color w:val="000000"/>
          <w:sz w:val="22"/>
          <w:szCs w:val="22"/>
        </w:rPr>
      </w:pPr>
      <w:r w:rsidRPr="00CC2A8A">
        <w:rPr>
          <w:rStyle w:val="c1"/>
          <w:rFonts w:asciiTheme="minorHAnsi" w:hAnsiTheme="minorHAnsi" w:cstheme="minorHAnsi"/>
          <w:color w:val="000000"/>
          <w:sz w:val="22"/>
          <w:szCs w:val="22"/>
        </w:rPr>
        <w:t>Provide appropriate citations and permissions for the materials you use in your course.</w:t>
      </w:r>
    </w:p>
    <w:p w14:paraId="1C57958D" w14:textId="77777777" w:rsidR="00CC2A8A" w:rsidRPr="00CC2A8A" w:rsidRDefault="00CC2A8A" w:rsidP="00CC2A8A">
      <w:pPr>
        <w:spacing w:after="0" w:line="240" w:lineRule="auto"/>
        <w:rPr>
          <w:rFonts w:cstheme="minorHAnsi"/>
        </w:rPr>
      </w:pPr>
    </w:p>
    <w:sectPr w:rsidR="00CC2A8A" w:rsidRPr="00CC2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23A5"/>
    <w:multiLevelType w:val="multilevel"/>
    <w:tmpl w:val="6C9E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17D1D"/>
    <w:multiLevelType w:val="hybridMultilevel"/>
    <w:tmpl w:val="1A7C7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4701E6"/>
    <w:multiLevelType w:val="multilevel"/>
    <w:tmpl w:val="1B72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D4D8F"/>
    <w:multiLevelType w:val="multilevel"/>
    <w:tmpl w:val="4E34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F242A"/>
    <w:multiLevelType w:val="hybridMultilevel"/>
    <w:tmpl w:val="40487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31BCB"/>
    <w:multiLevelType w:val="multilevel"/>
    <w:tmpl w:val="CFC4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450CF"/>
    <w:multiLevelType w:val="hybridMultilevel"/>
    <w:tmpl w:val="B6382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D9442C"/>
    <w:multiLevelType w:val="multilevel"/>
    <w:tmpl w:val="FEDE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840C1"/>
    <w:multiLevelType w:val="hybridMultilevel"/>
    <w:tmpl w:val="DB3E67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550A52"/>
    <w:multiLevelType w:val="hybridMultilevel"/>
    <w:tmpl w:val="2800D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4107AC"/>
    <w:multiLevelType w:val="multilevel"/>
    <w:tmpl w:val="1318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22F99"/>
    <w:multiLevelType w:val="multilevel"/>
    <w:tmpl w:val="54F6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21D9C"/>
    <w:multiLevelType w:val="multilevel"/>
    <w:tmpl w:val="5E3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0A1735"/>
    <w:multiLevelType w:val="multilevel"/>
    <w:tmpl w:val="119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807DD"/>
    <w:multiLevelType w:val="hybridMultilevel"/>
    <w:tmpl w:val="D47E8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3631E"/>
    <w:multiLevelType w:val="multilevel"/>
    <w:tmpl w:val="5EA0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111217"/>
    <w:multiLevelType w:val="hybridMultilevel"/>
    <w:tmpl w:val="429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508"/>
    <w:multiLevelType w:val="multilevel"/>
    <w:tmpl w:val="316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943C6"/>
    <w:multiLevelType w:val="multilevel"/>
    <w:tmpl w:val="764A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7"/>
  </w:num>
  <w:num w:numId="4">
    <w:abstractNumId w:val="18"/>
  </w:num>
  <w:num w:numId="5">
    <w:abstractNumId w:val="3"/>
  </w:num>
  <w:num w:numId="6">
    <w:abstractNumId w:val="2"/>
  </w:num>
  <w:num w:numId="7">
    <w:abstractNumId w:val="10"/>
  </w:num>
  <w:num w:numId="8">
    <w:abstractNumId w:val="0"/>
  </w:num>
  <w:num w:numId="9">
    <w:abstractNumId w:val="7"/>
  </w:num>
  <w:num w:numId="10">
    <w:abstractNumId w:val="11"/>
  </w:num>
  <w:num w:numId="11">
    <w:abstractNumId w:val="12"/>
  </w:num>
  <w:num w:numId="12">
    <w:abstractNumId w:val="13"/>
  </w:num>
  <w:num w:numId="13">
    <w:abstractNumId w:val="16"/>
  </w:num>
  <w:num w:numId="14">
    <w:abstractNumId w:val="9"/>
  </w:num>
  <w:num w:numId="15">
    <w:abstractNumId w:val="6"/>
  </w:num>
  <w:num w:numId="16">
    <w:abstractNumId w:val="1"/>
  </w:num>
  <w:num w:numId="17">
    <w:abstractNumId w:val="14"/>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8A"/>
    <w:rsid w:val="00730587"/>
    <w:rsid w:val="00B1549B"/>
    <w:rsid w:val="00CC2A8A"/>
    <w:rsid w:val="00F5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63B3"/>
  <w15:chartTrackingRefBased/>
  <w15:docId w15:val="{099576EE-6CAE-45DF-9798-F82C7A41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
    <w:name w:val="c8"/>
    <w:basedOn w:val="Normal"/>
    <w:rsid w:val="00CC2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CC2A8A"/>
  </w:style>
  <w:style w:type="character" w:customStyle="1" w:styleId="c2">
    <w:name w:val="c2"/>
    <w:basedOn w:val="DefaultParagraphFont"/>
    <w:rsid w:val="00CC2A8A"/>
  </w:style>
  <w:style w:type="character" w:customStyle="1" w:styleId="c4">
    <w:name w:val="c4"/>
    <w:basedOn w:val="DefaultParagraphFont"/>
    <w:rsid w:val="00CC2A8A"/>
  </w:style>
  <w:style w:type="paragraph" w:customStyle="1" w:styleId="c20">
    <w:name w:val="c20"/>
    <w:basedOn w:val="Normal"/>
    <w:rsid w:val="00CC2A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2A8A"/>
    <w:pPr>
      <w:ind w:left="720"/>
      <w:contextualSpacing/>
    </w:pPr>
  </w:style>
  <w:style w:type="character" w:styleId="Hyperlink">
    <w:name w:val="Hyperlink"/>
    <w:basedOn w:val="DefaultParagraphFont"/>
    <w:uiPriority w:val="99"/>
    <w:unhideWhenUsed/>
    <w:rsid w:val="00CC2A8A"/>
    <w:rPr>
      <w:color w:val="0563C1" w:themeColor="hyperlink"/>
      <w:u w:val="single"/>
    </w:rPr>
  </w:style>
  <w:style w:type="character" w:styleId="UnresolvedMention">
    <w:name w:val="Unresolved Mention"/>
    <w:basedOn w:val="DefaultParagraphFont"/>
    <w:uiPriority w:val="99"/>
    <w:semiHidden/>
    <w:unhideWhenUsed/>
    <w:rsid w:val="00B1549B"/>
    <w:rPr>
      <w:color w:val="605E5C"/>
      <w:shd w:val="clear" w:color="auto" w:fill="E1DFDD"/>
    </w:rPr>
  </w:style>
  <w:style w:type="character" w:styleId="FollowedHyperlink">
    <w:name w:val="FollowedHyperlink"/>
    <w:basedOn w:val="DefaultParagraphFont"/>
    <w:uiPriority w:val="99"/>
    <w:semiHidden/>
    <w:unhideWhenUsed/>
    <w:rsid w:val="00F57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2124">
      <w:bodyDiv w:val="1"/>
      <w:marLeft w:val="0"/>
      <w:marRight w:val="0"/>
      <w:marTop w:val="0"/>
      <w:marBottom w:val="0"/>
      <w:divBdr>
        <w:top w:val="none" w:sz="0" w:space="0" w:color="auto"/>
        <w:left w:val="none" w:sz="0" w:space="0" w:color="auto"/>
        <w:bottom w:val="none" w:sz="0" w:space="0" w:color="auto"/>
        <w:right w:val="none" w:sz="0" w:space="0" w:color="auto"/>
      </w:divBdr>
    </w:div>
    <w:div w:id="231819564">
      <w:bodyDiv w:val="1"/>
      <w:marLeft w:val="0"/>
      <w:marRight w:val="0"/>
      <w:marTop w:val="0"/>
      <w:marBottom w:val="0"/>
      <w:divBdr>
        <w:top w:val="none" w:sz="0" w:space="0" w:color="auto"/>
        <w:left w:val="none" w:sz="0" w:space="0" w:color="auto"/>
        <w:bottom w:val="none" w:sz="0" w:space="0" w:color="auto"/>
        <w:right w:val="none" w:sz="0" w:space="0" w:color="auto"/>
      </w:divBdr>
    </w:div>
    <w:div w:id="250508959">
      <w:bodyDiv w:val="1"/>
      <w:marLeft w:val="0"/>
      <w:marRight w:val="0"/>
      <w:marTop w:val="0"/>
      <w:marBottom w:val="0"/>
      <w:divBdr>
        <w:top w:val="none" w:sz="0" w:space="0" w:color="auto"/>
        <w:left w:val="none" w:sz="0" w:space="0" w:color="auto"/>
        <w:bottom w:val="none" w:sz="0" w:space="0" w:color="auto"/>
        <w:right w:val="none" w:sz="0" w:space="0" w:color="auto"/>
      </w:divBdr>
    </w:div>
    <w:div w:id="517620878">
      <w:bodyDiv w:val="1"/>
      <w:marLeft w:val="0"/>
      <w:marRight w:val="0"/>
      <w:marTop w:val="0"/>
      <w:marBottom w:val="0"/>
      <w:divBdr>
        <w:top w:val="none" w:sz="0" w:space="0" w:color="auto"/>
        <w:left w:val="none" w:sz="0" w:space="0" w:color="auto"/>
        <w:bottom w:val="none" w:sz="0" w:space="0" w:color="auto"/>
        <w:right w:val="none" w:sz="0" w:space="0" w:color="auto"/>
      </w:divBdr>
    </w:div>
    <w:div w:id="633174902">
      <w:bodyDiv w:val="1"/>
      <w:marLeft w:val="0"/>
      <w:marRight w:val="0"/>
      <w:marTop w:val="0"/>
      <w:marBottom w:val="0"/>
      <w:divBdr>
        <w:top w:val="none" w:sz="0" w:space="0" w:color="auto"/>
        <w:left w:val="none" w:sz="0" w:space="0" w:color="auto"/>
        <w:bottom w:val="none" w:sz="0" w:space="0" w:color="auto"/>
        <w:right w:val="none" w:sz="0" w:space="0" w:color="auto"/>
      </w:divBdr>
    </w:div>
    <w:div w:id="730084177">
      <w:bodyDiv w:val="1"/>
      <w:marLeft w:val="0"/>
      <w:marRight w:val="0"/>
      <w:marTop w:val="0"/>
      <w:marBottom w:val="0"/>
      <w:divBdr>
        <w:top w:val="none" w:sz="0" w:space="0" w:color="auto"/>
        <w:left w:val="none" w:sz="0" w:space="0" w:color="auto"/>
        <w:bottom w:val="none" w:sz="0" w:space="0" w:color="auto"/>
        <w:right w:val="none" w:sz="0" w:space="0" w:color="auto"/>
      </w:divBdr>
    </w:div>
    <w:div w:id="834953404">
      <w:bodyDiv w:val="1"/>
      <w:marLeft w:val="0"/>
      <w:marRight w:val="0"/>
      <w:marTop w:val="0"/>
      <w:marBottom w:val="0"/>
      <w:divBdr>
        <w:top w:val="none" w:sz="0" w:space="0" w:color="auto"/>
        <w:left w:val="none" w:sz="0" w:space="0" w:color="auto"/>
        <w:bottom w:val="none" w:sz="0" w:space="0" w:color="auto"/>
        <w:right w:val="none" w:sz="0" w:space="0" w:color="auto"/>
      </w:divBdr>
    </w:div>
    <w:div w:id="952321458">
      <w:bodyDiv w:val="1"/>
      <w:marLeft w:val="0"/>
      <w:marRight w:val="0"/>
      <w:marTop w:val="0"/>
      <w:marBottom w:val="0"/>
      <w:divBdr>
        <w:top w:val="none" w:sz="0" w:space="0" w:color="auto"/>
        <w:left w:val="none" w:sz="0" w:space="0" w:color="auto"/>
        <w:bottom w:val="none" w:sz="0" w:space="0" w:color="auto"/>
        <w:right w:val="none" w:sz="0" w:space="0" w:color="auto"/>
      </w:divBdr>
    </w:div>
    <w:div w:id="1163473695">
      <w:bodyDiv w:val="1"/>
      <w:marLeft w:val="0"/>
      <w:marRight w:val="0"/>
      <w:marTop w:val="0"/>
      <w:marBottom w:val="0"/>
      <w:divBdr>
        <w:top w:val="none" w:sz="0" w:space="0" w:color="auto"/>
        <w:left w:val="none" w:sz="0" w:space="0" w:color="auto"/>
        <w:bottom w:val="none" w:sz="0" w:space="0" w:color="auto"/>
        <w:right w:val="none" w:sz="0" w:space="0" w:color="auto"/>
      </w:divBdr>
    </w:div>
    <w:div w:id="1473599727">
      <w:bodyDiv w:val="1"/>
      <w:marLeft w:val="0"/>
      <w:marRight w:val="0"/>
      <w:marTop w:val="0"/>
      <w:marBottom w:val="0"/>
      <w:divBdr>
        <w:top w:val="none" w:sz="0" w:space="0" w:color="auto"/>
        <w:left w:val="none" w:sz="0" w:space="0" w:color="auto"/>
        <w:bottom w:val="none" w:sz="0" w:space="0" w:color="auto"/>
        <w:right w:val="none" w:sz="0" w:space="0" w:color="auto"/>
      </w:divBdr>
    </w:div>
    <w:div w:id="1514765131">
      <w:bodyDiv w:val="1"/>
      <w:marLeft w:val="0"/>
      <w:marRight w:val="0"/>
      <w:marTop w:val="0"/>
      <w:marBottom w:val="0"/>
      <w:divBdr>
        <w:top w:val="none" w:sz="0" w:space="0" w:color="auto"/>
        <w:left w:val="none" w:sz="0" w:space="0" w:color="auto"/>
        <w:bottom w:val="none" w:sz="0" w:space="0" w:color="auto"/>
        <w:right w:val="none" w:sz="0" w:space="0" w:color="auto"/>
      </w:divBdr>
    </w:div>
    <w:div w:id="16107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e/2PACX-1vRzSgvQZDAbu9iG3Cxnq3D2hlxiUZrzwVRj94MGPVDvY9exqxiSgOkuhKxkexPSxb12cb3QNqDTWSIc/pub?utm_source=Quality+Matters+Digital+Communications&amp;utm_campaign=59c8c41e3a-EMAIL_ERIC_2020&amp;utm_medium=email&amp;utm_term=0_355a0627da-59c8c41e3a-33654837&amp;mc_cid=59c8c41e3a&amp;mc_eid=cc22343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Hill</dc:creator>
  <cp:keywords/>
  <dc:description/>
  <cp:lastModifiedBy>Charles Hill</cp:lastModifiedBy>
  <cp:revision>3</cp:revision>
  <dcterms:created xsi:type="dcterms:W3CDTF">2020-03-24T23:18:00Z</dcterms:created>
  <dcterms:modified xsi:type="dcterms:W3CDTF">2020-03-24T23:44:00Z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1640312204</vt:i4>
  </property>
  <property fmtid="{D5CDD505-2E9C-101B-9397-08002B2CF9AE}" pid="3" name="_NewReviewCycle">
    <vt:lpwstr/>
  </property>
  <property fmtid="{D5CDD505-2E9C-101B-9397-08002B2CF9AE}" pid="4" name="_EmailSubject">
    <vt:lpwstr>Additional Content for Instructional Continuity page</vt:lpwstr>
  </property>
  <property fmtid="{D5CDD505-2E9C-101B-9397-08002B2CF9AE}" pid="5" name="_AuthorEmail">
    <vt:lpwstr>hill@uwosh.edu</vt:lpwstr>
  </property>
  <property fmtid="{D5CDD505-2E9C-101B-9397-08002B2CF9AE}" pid="6" name="_AuthorEmailDisplayName">
    <vt:lpwstr>Charles Hill</vt:lpwstr>
  </property>
</Properties>
</file>