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right"/>
        <w:rPr>
          <w:rFonts w:ascii="Century Gothic" w:cs="Century Gothic" w:eastAsia="Century Gothic" w:hAnsi="Century Gothic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baseline"/>
          <w:rtl w:val="0"/>
        </w:rPr>
        <w:t xml:space="preserve">Oshkosh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right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General Election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Form EC-08A : President and Vice President Rights and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stated in OSA Constitution Article V, Section 1 and 2</w:t>
      </w:r>
    </w:p>
    <w:p w:rsidR="00000000" w:rsidDel="00000000" w:rsidP="00000000" w:rsidRDefault="00000000" w:rsidRPr="00000000" w14:paraId="00000005">
      <w:pPr>
        <w:spacing w:after="240" w:before="120" w:lineRule="auto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Elections Commissioner/OSA Office Manager</w:t>
        <w:br w:type="textWrapping"/>
        <w:t xml:space="preserve">Oshkosh Student Association</w:t>
        <w:br w:type="textWrapping"/>
        <w:t xml:space="preserve">Reeve Memorial Union, Room 208C</w:t>
        <w:br w:type="textWrapping"/>
        <w:t xml:space="preserve">748 Algoma Blvd</w:t>
        <w:br w:type="textWrapping"/>
        <w:t xml:space="preserve">Oshkosh, WI 54901</w:t>
      </w:r>
    </w:p>
    <w:tbl>
      <w:tblPr>
        <w:tblStyle w:val="Table1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752"/>
        <w:gridCol w:w="4752"/>
        <w:tblGridChange w:id="0">
          <w:tblGrid>
            <w:gridCol w:w="4752"/>
            <w:gridCol w:w="4752"/>
          </w:tblGrid>
        </w:tblGridChange>
      </w:tblGrid>
      <w:tr>
        <w:trPr>
          <w:trHeight w:val="576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Your full name (last, first MI)</w:t>
            </w:r>
          </w:p>
        </w:tc>
      </w:tr>
      <w:tr>
        <w:trPr>
          <w:trHeight w:val="576" w:hRule="atLeast"/>
        </w:trPr>
        <w:tc>
          <w:tcPr>
            <w:vMerge w:val="restart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Local 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ddress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vMerge w:val="continue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3456" w:hRule="atLeast"/>
        </w:trPr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President requirements and rights: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Serve as the official representative of the student body;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Appoint a Chief of Staff, Deputy Chief of Staff, Communications Director, and any other directors with Senate approval: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Appoint a Vice President if a vacancy occurs with Senate approval;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Appoint students to committees;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Designate an individual in an acting capacity to a vacant appointed position until the Senate confirms the new appointment;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Chair all meetings of the Executive Board and to be the tie-breaking vote if necessary;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Sign or veto all joint legislation within five (5) class days of its clearance of both houses;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Prepare and propose the executive budget of OSA;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Have other executive powers necessary to carry out provisions of this Constitution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Completed two (2) consecutive semesters at the University of Wisconsin Oshkosh prior to their candidacy;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Maintain a 2.0 grade point average while serving in this office</w:t>
            </w:r>
          </w:p>
          <w:p w:rsidR="00000000" w:rsidDel="00000000" w:rsidP="00000000" w:rsidRDefault="00000000" w:rsidRPr="00000000" w14:paraId="00000019">
            <w:pPr>
              <w:ind w:left="216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Vice President requirements and rights: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Chair all meetings of the Senate;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Serve as the tie-breaking vote in the Senate if necessary;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Serve at the pleasure of the President;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Call emergency meetings of the Senate at their own initiative;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Appoint both Advocacy and At-Large Senators following an interview with the Vice President;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Prepare the agenda for the Senate meetings;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before="0" w:lineRule="auto"/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Serve on the OSA Executive Board and receive one (1) vote during these meetings.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Maintain a 2.0 grade point average while serving in this office;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216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Completed two (2) consecutive semesters at the University of Wisconsin Oshkosh prior to their candidacy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agree to the requirements above.  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Signatures of President and Vice President Candidate                                Date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3132"/>
        <w:gridCol w:w="2880"/>
        <w:gridCol w:w="3492"/>
        <w:tblGridChange w:id="0">
          <w:tblGrid>
            <w:gridCol w:w="3132"/>
            <w:gridCol w:w="2880"/>
            <w:gridCol w:w="3492"/>
          </w:tblGrid>
        </w:tblGridChange>
      </w:tblGrid>
      <w:tr>
        <w:tc>
          <w:tcPr>
            <w:gridSpan w:val="3"/>
            <w:tcBorders>
              <w:bottom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 ELECTIONS COMMISSION USE ONLY</w:t>
            </w:r>
          </w:p>
        </w:tc>
      </w:tr>
      <w:tr>
        <w:trPr>
          <w:trHeight w:val="699" w:hRule="atLeast"/>
        </w:trPr>
        <w:tc>
          <w:tcPr>
            <w:tcBorders>
              <w:top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Received by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6e6e6" w:val="clear"/>
            <w:vAlign w:val="top"/>
          </w:tcPr>
          <w:p w:rsidR="00000000" w:rsidDel="00000000" w:rsidP="00000000" w:rsidRDefault="00000000" w:rsidRPr="00000000" w14:paraId="00000059">
            <w:pPr>
              <w:spacing w:after="80" w:before="8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Elections Commissioner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DUE: Tuesday, February 2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rFonts w:ascii="Arial" w:cs="Arial" w:eastAsia="Arial" w:hAnsi="Arial"/>
        <w:b w:val="1"/>
        <w:i w:val="1"/>
        <w:sz w:val="20"/>
        <w:szCs w:val="20"/>
        <w:rtl w:val="0"/>
      </w:rPr>
      <w:t xml:space="preserve">1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at 3:00 pm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