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88AC" w14:textId="77777777" w:rsidR="005F4965" w:rsidRPr="0009096A" w:rsidRDefault="00DF180A" w:rsidP="008934D2">
      <w:pPr>
        <w:jc w:val="center"/>
        <w:rPr>
          <w:b/>
          <w:sz w:val="28"/>
          <w:szCs w:val="28"/>
          <w:u w:val="single"/>
        </w:rPr>
      </w:pPr>
      <w:r w:rsidRPr="00DF180A">
        <w:rPr>
          <w:b/>
          <w:sz w:val="28"/>
          <w:szCs w:val="28"/>
          <w:u w:val="single"/>
        </w:rPr>
        <w:t xml:space="preserve">Committee </w:t>
      </w:r>
      <w:r w:rsidR="005F4965" w:rsidRPr="00DF180A">
        <w:rPr>
          <w:b/>
          <w:sz w:val="28"/>
          <w:szCs w:val="28"/>
          <w:u w:val="single"/>
        </w:rPr>
        <w:t>Standard Operating Procedure</w:t>
      </w:r>
      <w:r w:rsidRPr="00DF180A">
        <w:rPr>
          <w:b/>
          <w:sz w:val="28"/>
          <w:szCs w:val="28"/>
          <w:u w:val="single"/>
        </w:rPr>
        <w:t>s</w:t>
      </w:r>
      <w:r w:rsidR="005F4965" w:rsidRPr="00DF180A">
        <w:rPr>
          <w:b/>
          <w:sz w:val="28"/>
          <w:szCs w:val="28"/>
          <w:u w:val="single"/>
        </w:rPr>
        <w:t xml:space="preserve"> for </w:t>
      </w:r>
      <w:r w:rsidRPr="00DF180A">
        <w:rPr>
          <w:b/>
          <w:sz w:val="28"/>
          <w:szCs w:val="28"/>
          <w:u w:val="single"/>
        </w:rPr>
        <w:t>IBC</w:t>
      </w:r>
    </w:p>
    <w:p w14:paraId="4E17EAF3" w14:textId="77777777" w:rsidR="00C7107B" w:rsidRPr="00305E69" w:rsidRDefault="00247DC5" w:rsidP="00C7107B">
      <w:pPr>
        <w:pStyle w:val="NormalWeb"/>
        <w:shd w:val="clear" w:color="auto" w:fill="FFFFFF"/>
        <w:spacing w:before="0" w:beforeAutospacing="0" w:after="0" w:afterAutospacing="0"/>
        <w:textAlignment w:val="baseline"/>
      </w:pPr>
      <w:r w:rsidRPr="00305E69">
        <w:t xml:space="preserve">The </w:t>
      </w:r>
      <w:r w:rsidR="00FF12D4" w:rsidRPr="00305E69">
        <w:t>Institutional Biosafety Committee (IBC)</w:t>
      </w:r>
      <w:r w:rsidRPr="00305E69">
        <w:t xml:space="preserve"> </w:t>
      </w:r>
      <w:r w:rsidR="00E03700" w:rsidRPr="00305E69">
        <w:t xml:space="preserve">review </w:t>
      </w:r>
      <w:r w:rsidRPr="00305E69">
        <w:t xml:space="preserve">process </w:t>
      </w:r>
      <w:r w:rsidR="003238B5" w:rsidRPr="00305E69">
        <w:t xml:space="preserve">at UW Oshkosh </w:t>
      </w:r>
      <w:r w:rsidRPr="00305E69">
        <w:t>aims to ensure the appropriate</w:t>
      </w:r>
      <w:r w:rsidR="003238B5" w:rsidRPr="00305E69">
        <w:t xml:space="preserve"> and safe </w:t>
      </w:r>
      <w:r w:rsidRPr="00305E69">
        <w:t>use of bio</w:t>
      </w:r>
      <w:r w:rsidR="00B06C15" w:rsidRPr="00305E69">
        <w:t>logical</w:t>
      </w:r>
      <w:r w:rsidRPr="00305E69">
        <w:t xml:space="preserve"> materials </w:t>
      </w:r>
      <w:r w:rsidR="00CE298C" w:rsidRPr="00305E69">
        <w:t>used for</w:t>
      </w:r>
      <w:r w:rsidRPr="00305E69">
        <w:t xml:space="preserve"> teaching and researc</w:t>
      </w:r>
      <w:r w:rsidR="003238B5" w:rsidRPr="00305E69">
        <w:t>h</w:t>
      </w:r>
      <w:r w:rsidR="00CE298C" w:rsidRPr="00305E69">
        <w:t xml:space="preserve"> projects</w:t>
      </w:r>
      <w:r w:rsidR="002660CA" w:rsidRPr="00305E69">
        <w:t>.  T</w:t>
      </w:r>
      <w:r w:rsidR="00FF12D4" w:rsidRPr="00305E69">
        <w:t>his manual describes the</w:t>
      </w:r>
      <w:r w:rsidRPr="00305E69">
        <w:t xml:space="preserve"> </w:t>
      </w:r>
      <w:r w:rsidR="006A73B8" w:rsidRPr="00305E69">
        <w:t xml:space="preserve">committee </w:t>
      </w:r>
      <w:r w:rsidR="00B91213" w:rsidRPr="00305E69">
        <w:t xml:space="preserve">operating </w:t>
      </w:r>
      <w:r w:rsidRPr="00305E69">
        <w:t xml:space="preserve">procedures for </w:t>
      </w:r>
      <w:r w:rsidR="00BE52BB" w:rsidRPr="00305E69">
        <w:t xml:space="preserve">IBC </w:t>
      </w:r>
      <w:r w:rsidR="002660CA" w:rsidRPr="00305E69">
        <w:t xml:space="preserve">application </w:t>
      </w:r>
      <w:r w:rsidRPr="00305E69">
        <w:t>submission</w:t>
      </w:r>
      <w:r w:rsidR="00FC291D" w:rsidRPr="00305E69">
        <w:t xml:space="preserve"> and review process for new</w:t>
      </w:r>
      <w:r w:rsidR="00890F30" w:rsidRPr="00305E69">
        <w:t xml:space="preserve">, renewal, and amended protocols.  </w:t>
      </w:r>
      <w:r w:rsidR="005113C1" w:rsidRPr="00305E69">
        <w:rPr>
          <w:bdr w:val="none" w:sz="0" w:space="0" w:color="auto" w:frame="1"/>
          <w:shd w:val="clear" w:color="auto" w:fill="FFFFFF"/>
        </w:rPr>
        <w:t>Questions</w:t>
      </w:r>
      <w:r w:rsidR="00C7107B" w:rsidRPr="00305E69">
        <w:rPr>
          <w:bdr w:val="none" w:sz="0" w:space="0" w:color="auto" w:frame="1"/>
          <w:shd w:val="clear" w:color="auto" w:fill="FFFFFF"/>
        </w:rPr>
        <w:t xml:space="preserve"> </w:t>
      </w:r>
      <w:r w:rsidR="005113C1" w:rsidRPr="00305E69">
        <w:rPr>
          <w:bdr w:val="none" w:sz="0" w:space="0" w:color="auto" w:frame="1"/>
          <w:shd w:val="clear" w:color="auto" w:fill="FFFFFF"/>
        </w:rPr>
        <w:t xml:space="preserve">may be directed to </w:t>
      </w:r>
      <w:r w:rsidR="00C7107B" w:rsidRPr="00305E69">
        <w:rPr>
          <w:bdr w:val="none" w:sz="0" w:space="0" w:color="auto" w:frame="1"/>
          <w:shd w:val="clear" w:color="auto" w:fill="FFFFFF"/>
        </w:rPr>
        <w:t xml:space="preserve">IBC Administration at </w:t>
      </w:r>
      <w:hyperlink r:id="rId8" w:history="1">
        <w:r w:rsidR="0033621E" w:rsidRPr="00305E69">
          <w:rPr>
            <w:rStyle w:val="Hyperlink"/>
            <w:color w:val="auto"/>
            <w:bdr w:val="none" w:sz="0" w:space="0" w:color="auto" w:frame="1"/>
            <w:shd w:val="clear" w:color="auto" w:fill="FFFFFF"/>
          </w:rPr>
          <w:t>biosafety@uwosh.edu</w:t>
        </w:r>
      </w:hyperlink>
      <w:r w:rsidR="0033621E" w:rsidRPr="00305E69">
        <w:rPr>
          <w:bdr w:val="none" w:sz="0" w:space="0" w:color="auto" w:frame="1"/>
          <w:shd w:val="clear" w:color="auto" w:fill="FFFFFF"/>
        </w:rPr>
        <w:t xml:space="preserve"> </w:t>
      </w:r>
      <w:r w:rsidR="005113C1" w:rsidRPr="00305E69">
        <w:rPr>
          <w:bdr w:val="none" w:sz="0" w:space="0" w:color="auto" w:frame="1"/>
          <w:shd w:val="clear" w:color="auto" w:fill="FFFFFF"/>
        </w:rPr>
        <w:t xml:space="preserve">or by calling (920) </w:t>
      </w:r>
      <w:r w:rsidR="00C7107B" w:rsidRPr="00305E69">
        <w:rPr>
          <w:bdr w:val="none" w:sz="0" w:space="0" w:color="auto" w:frame="1"/>
          <w:shd w:val="clear" w:color="auto" w:fill="FFFFFF"/>
        </w:rPr>
        <w:t>424-3215.</w:t>
      </w:r>
    </w:p>
    <w:p w14:paraId="069D5C86" w14:textId="77777777" w:rsidR="00143F1D" w:rsidRDefault="00143F1D" w:rsidP="00C75BB3">
      <w:pPr>
        <w:rPr>
          <w:rFonts w:cs="Times New Roman"/>
          <w:b/>
          <w:szCs w:val="24"/>
        </w:rPr>
      </w:pPr>
    </w:p>
    <w:p w14:paraId="5DF337E6" w14:textId="77777777" w:rsidR="001A3D3C" w:rsidRPr="00A96BCB" w:rsidRDefault="00B12BB4" w:rsidP="00C75BB3">
      <w:pPr>
        <w:rPr>
          <w:rFonts w:cs="Times New Roman"/>
          <w:b/>
          <w:szCs w:val="24"/>
          <w:u w:val="single"/>
        </w:rPr>
      </w:pPr>
      <w:r w:rsidRPr="008934D2">
        <w:rPr>
          <w:rFonts w:cs="Times New Roman"/>
          <w:b/>
          <w:szCs w:val="24"/>
        </w:rPr>
        <w:t>A.</w:t>
      </w:r>
      <w:r w:rsidR="004A545F">
        <w:rPr>
          <w:rFonts w:cs="Times New Roman"/>
          <w:b/>
          <w:szCs w:val="24"/>
        </w:rPr>
        <w:t xml:space="preserve"> </w:t>
      </w:r>
      <w:r w:rsidRPr="004A545F">
        <w:rPr>
          <w:rFonts w:cs="Times New Roman"/>
          <w:b/>
          <w:szCs w:val="24"/>
        </w:rPr>
        <w:t xml:space="preserve"> </w:t>
      </w:r>
      <w:r w:rsidR="00193EBA" w:rsidRPr="00A96BCB">
        <w:rPr>
          <w:rFonts w:cs="Times New Roman"/>
          <w:b/>
          <w:szCs w:val="24"/>
          <w:u w:val="single"/>
        </w:rPr>
        <w:t>I</w:t>
      </w:r>
      <w:r w:rsidR="0028559F" w:rsidRPr="00A96BCB">
        <w:rPr>
          <w:rFonts w:cs="Times New Roman"/>
          <w:b/>
          <w:szCs w:val="24"/>
          <w:u w:val="single"/>
        </w:rPr>
        <w:t xml:space="preserve">BC </w:t>
      </w:r>
      <w:r w:rsidR="00193EBA" w:rsidRPr="00A96BCB">
        <w:rPr>
          <w:rFonts w:cs="Times New Roman"/>
          <w:b/>
          <w:szCs w:val="24"/>
          <w:u w:val="single"/>
        </w:rPr>
        <w:t>Application</w:t>
      </w:r>
      <w:r w:rsidR="0028559F" w:rsidRPr="00A96BCB">
        <w:rPr>
          <w:rFonts w:cs="Times New Roman"/>
          <w:b/>
          <w:szCs w:val="24"/>
          <w:u w:val="single"/>
        </w:rPr>
        <w:t xml:space="preserve"> Submission Process </w:t>
      </w:r>
    </w:p>
    <w:p w14:paraId="56B46DBC" w14:textId="77777777" w:rsidR="0030321A" w:rsidRDefault="00CA1848" w:rsidP="000577F6">
      <w:pPr>
        <w:pStyle w:val="ListParagraph"/>
        <w:numPr>
          <w:ilvl w:val="0"/>
          <w:numId w:val="9"/>
        </w:numPr>
        <w:spacing w:after="0"/>
        <w:textAlignment w:val="baseline"/>
        <w:rPr>
          <w:rFonts w:cs="Times New Roman"/>
          <w:color w:val="444444"/>
          <w:szCs w:val="24"/>
        </w:rPr>
      </w:pPr>
      <w:r w:rsidRPr="00544574">
        <w:rPr>
          <w:rFonts w:cs="Times New Roman"/>
          <w:szCs w:val="24"/>
        </w:rPr>
        <w:t xml:space="preserve">Any faculty or staff member </w:t>
      </w:r>
      <w:r w:rsidR="00D5571B" w:rsidRPr="00544574">
        <w:rPr>
          <w:rFonts w:cs="Times New Roman"/>
          <w:szCs w:val="24"/>
        </w:rPr>
        <w:t>that would like</w:t>
      </w:r>
      <w:r w:rsidR="00E13E6F" w:rsidRPr="00544574">
        <w:rPr>
          <w:rFonts w:cs="Times New Roman"/>
          <w:szCs w:val="24"/>
        </w:rPr>
        <w:t xml:space="preserve"> to </w:t>
      </w:r>
      <w:r w:rsidR="000B5570" w:rsidRPr="00544574">
        <w:rPr>
          <w:rFonts w:cs="Times New Roman"/>
          <w:szCs w:val="24"/>
        </w:rPr>
        <w:t xml:space="preserve">begin a new teaching or research project utilizing </w:t>
      </w:r>
      <w:r w:rsidR="00D5571B" w:rsidRPr="00544574">
        <w:rPr>
          <w:rFonts w:cs="Times New Roman"/>
          <w:szCs w:val="24"/>
        </w:rPr>
        <w:t xml:space="preserve">biological materials </w:t>
      </w:r>
      <w:r w:rsidR="00C91A7F" w:rsidRPr="00544574">
        <w:rPr>
          <w:rFonts w:cs="Times New Roman"/>
          <w:szCs w:val="24"/>
        </w:rPr>
        <w:t xml:space="preserve">must complete an </w:t>
      </w:r>
      <w:hyperlink r:id="rId9" w:history="1">
        <w:r w:rsidR="00C91A7F" w:rsidRPr="00322F95">
          <w:rPr>
            <w:rStyle w:val="Hyperlink"/>
            <w:rFonts w:cs="Times New Roman"/>
            <w:b/>
            <w:szCs w:val="24"/>
          </w:rPr>
          <w:t>IBC Application Form</w:t>
        </w:r>
      </w:hyperlink>
      <w:r w:rsidR="00C91A7F" w:rsidRPr="00A96BCB">
        <w:rPr>
          <w:rFonts w:cs="Times New Roman"/>
          <w:szCs w:val="24"/>
        </w:rPr>
        <w:t xml:space="preserve"> </w:t>
      </w:r>
      <w:r w:rsidR="00C91A7F" w:rsidRPr="00544574">
        <w:rPr>
          <w:rFonts w:cs="Times New Roman"/>
          <w:szCs w:val="24"/>
        </w:rPr>
        <w:t xml:space="preserve">found </w:t>
      </w:r>
      <w:r w:rsidR="00F716D0" w:rsidRPr="00544574">
        <w:rPr>
          <w:rFonts w:cs="Times New Roman"/>
          <w:szCs w:val="24"/>
        </w:rPr>
        <w:t xml:space="preserve">on </w:t>
      </w:r>
      <w:r w:rsidR="00E13E6F" w:rsidRPr="00305E69">
        <w:rPr>
          <w:rFonts w:cs="Times New Roman"/>
          <w:szCs w:val="24"/>
        </w:rPr>
        <w:t>the IBC forms page</w:t>
      </w:r>
      <w:r w:rsidR="00A83A9B" w:rsidRPr="00305E69">
        <w:rPr>
          <w:rFonts w:cs="Times New Roman"/>
          <w:szCs w:val="24"/>
        </w:rPr>
        <w:t xml:space="preserve">.  </w:t>
      </w:r>
      <w:r w:rsidR="00FE5442" w:rsidRPr="00305E69">
        <w:rPr>
          <w:rFonts w:cs="Times New Roman"/>
          <w:szCs w:val="24"/>
        </w:rPr>
        <w:t xml:space="preserve">The PI must submit one signed, hard copy of the application to Office of Sponsored Programs and Faculty Development, Dempsey 214, and an electronic application to </w:t>
      </w:r>
      <w:hyperlink r:id="rId10" w:history="1">
        <w:r w:rsidR="00FE5442" w:rsidRPr="00B91681">
          <w:rPr>
            <w:rStyle w:val="Hyperlink"/>
            <w:rFonts w:cs="Times New Roman"/>
            <w:szCs w:val="24"/>
          </w:rPr>
          <w:t>biosafety@uwosh.edu</w:t>
        </w:r>
      </w:hyperlink>
      <w:r w:rsidR="00FE5442">
        <w:rPr>
          <w:rFonts w:cs="Times New Roman"/>
          <w:color w:val="444444"/>
          <w:szCs w:val="24"/>
        </w:rPr>
        <w:t xml:space="preserve"> </w:t>
      </w:r>
      <w:r w:rsidR="00FE5442" w:rsidRPr="00305E69">
        <w:rPr>
          <w:rFonts w:cs="Times New Roman"/>
          <w:szCs w:val="24"/>
        </w:rPr>
        <w:t>for electronic distribution and storage</w:t>
      </w:r>
    </w:p>
    <w:p w14:paraId="62E2B6D0" w14:textId="77777777" w:rsidR="00E13E6F" w:rsidRPr="00305E69" w:rsidRDefault="000A3475" w:rsidP="000577F6">
      <w:pPr>
        <w:pStyle w:val="ListParagraph"/>
        <w:numPr>
          <w:ilvl w:val="0"/>
          <w:numId w:val="9"/>
        </w:numPr>
        <w:spacing w:after="0"/>
        <w:textAlignment w:val="baseline"/>
        <w:rPr>
          <w:rFonts w:cs="Times New Roman"/>
          <w:szCs w:val="24"/>
        </w:rPr>
      </w:pPr>
      <w:r w:rsidRPr="00305E69">
        <w:rPr>
          <w:rFonts w:cs="Times New Roman"/>
          <w:szCs w:val="24"/>
        </w:rPr>
        <w:t xml:space="preserve">All applicable sections of the IBC Application must be completed by the PI.  </w:t>
      </w:r>
      <w:r w:rsidR="00E13E6F" w:rsidRPr="00305E69">
        <w:rPr>
          <w:rFonts w:cs="Times New Roman"/>
          <w:szCs w:val="24"/>
        </w:rPr>
        <w:t>Biological materials that will be subject to review by the IBC include:</w:t>
      </w:r>
    </w:p>
    <w:p w14:paraId="2E8C2A85" w14:textId="77777777" w:rsidR="00E13E6F" w:rsidRPr="00305E69" w:rsidRDefault="00E13E6F" w:rsidP="000577F6">
      <w:pPr>
        <w:pStyle w:val="ListParagraph"/>
        <w:numPr>
          <w:ilvl w:val="0"/>
          <w:numId w:val="19"/>
        </w:numPr>
        <w:spacing w:after="0"/>
        <w:textAlignment w:val="baseline"/>
        <w:rPr>
          <w:rFonts w:cs="Times New Roman"/>
          <w:szCs w:val="24"/>
        </w:rPr>
      </w:pPr>
      <w:r w:rsidRPr="00305E69">
        <w:rPr>
          <w:rFonts w:cs="Times New Roman"/>
          <w:szCs w:val="24"/>
        </w:rPr>
        <w:t>Bacteria, viruses, viral vectors, fungi, prions</w:t>
      </w:r>
    </w:p>
    <w:p w14:paraId="52480BCE" w14:textId="77777777" w:rsidR="00E13E6F" w:rsidRPr="00305E69" w:rsidRDefault="00E13E6F" w:rsidP="000577F6">
      <w:pPr>
        <w:pStyle w:val="ListParagraph"/>
        <w:numPr>
          <w:ilvl w:val="0"/>
          <w:numId w:val="19"/>
        </w:numPr>
        <w:spacing w:after="0"/>
        <w:textAlignment w:val="baseline"/>
        <w:rPr>
          <w:rFonts w:cs="Times New Roman"/>
          <w:szCs w:val="24"/>
        </w:rPr>
      </w:pPr>
      <w:r w:rsidRPr="00305E69">
        <w:rPr>
          <w:rFonts w:cs="Times New Roman"/>
          <w:szCs w:val="24"/>
        </w:rPr>
        <w:t>Human/Non-human primate cell lines, tissues, or blood products</w:t>
      </w:r>
    </w:p>
    <w:p w14:paraId="30F9AF5C" w14:textId="77777777" w:rsidR="00E13E6F" w:rsidRPr="00305E69" w:rsidRDefault="00E13E6F" w:rsidP="000577F6">
      <w:pPr>
        <w:pStyle w:val="ListParagraph"/>
        <w:numPr>
          <w:ilvl w:val="0"/>
          <w:numId w:val="19"/>
        </w:numPr>
        <w:spacing w:after="0"/>
        <w:textAlignment w:val="baseline"/>
        <w:rPr>
          <w:rFonts w:cs="Times New Roman"/>
          <w:szCs w:val="24"/>
        </w:rPr>
      </w:pPr>
      <w:r w:rsidRPr="00305E69">
        <w:rPr>
          <w:rFonts w:cs="Times New Roman"/>
          <w:szCs w:val="24"/>
        </w:rPr>
        <w:t>Animal cell lines, tissues, or blood products</w:t>
      </w:r>
    </w:p>
    <w:p w14:paraId="75C927DF" w14:textId="77777777" w:rsidR="00E13E6F" w:rsidRPr="00305E69" w:rsidRDefault="00E13E6F" w:rsidP="000577F6">
      <w:pPr>
        <w:pStyle w:val="ListParagraph"/>
        <w:numPr>
          <w:ilvl w:val="0"/>
          <w:numId w:val="19"/>
        </w:numPr>
        <w:spacing w:after="0"/>
        <w:textAlignment w:val="baseline"/>
        <w:rPr>
          <w:rFonts w:cs="Times New Roman"/>
          <w:szCs w:val="24"/>
        </w:rPr>
      </w:pPr>
      <w:r w:rsidRPr="00305E69">
        <w:rPr>
          <w:rFonts w:cs="Times New Roman"/>
          <w:szCs w:val="24"/>
        </w:rPr>
        <w:t>Plants (exotic or grown in association with pathogenic or recombinant microbes/animals</w:t>
      </w:r>
      <w:r w:rsidR="002837B2" w:rsidRPr="00305E69">
        <w:rPr>
          <w:rFonts w:cs="Times New Roman"/>
          <w:szCs w:val="24"/>
        </w:rPr>
        <w:t>)</w:t>
      </w:r>
    </w:p>
    <w:p w14:paraId="410B92D8" w14:textId="77777777" w:rsidR="00E13E6F" w:rsidRPr="00305E69" w:rsidRDefault="00E13E6F" w:rsidP="000577F6">
      <w:pPr>
        <w:pStyle w:val="ListParagraph"/>
        <w:numPr>
          <w:ilvl w:val="0"/>
          <w:numId w:val="19"/>
        </w:numPr>
        <w:spacing w:after="0"/>
        <w:textAlignment w:val="baseline"/>
        <w:rPr>
          <w:rFonts w:cs="Times New Roman"/>
          <w:szCs w:val="24"/>
        </w:rPr>
      </w:pPr>
      <w:r w:rsidRPr="00305E69">
        <w:rPr>
          <w:rFonts w:cs="Times New Roman"/>
          <w:szCs w:val="24"/>
        </w:rPr>
        <w:t>Biological toxins</w:t>
      </w:r>
    </w:p>
    <w:p w14:paraId="740D339E" w14:textId="77777777" w:rsidR="00E13E6F" w:rsidRPr="00305E69" w:rsidRDefault="00E13E6F" w:rsidP="000577F6">
      <w:pPr>
        <w:pStyle w:val="ListParagraph"/>
        <w:numPr>
          <w:ilvl w:val="0"/>
          <w:numId w:val="19"/>
        </w:numPr>
        <w:spacing w:after="0"/>
        <w:textAlignment w:val="baseline"/>
        <w:rPr>
          <w:rFonts w:cs="Times New Roman"/>
          <w:szCs w:val="24"/>
        </w:rPr>
      </w:pPr>
      <w:r w:rsidRPr="00305E69">
        <w:rPr>
          <w:rFonts w:cs="Times New Roman"/>
          <w:szCs w:val="24"/>
        </w:rPr>
        <w:t>Recombinant DNA (rDNA) or Synthetic Nucleic Acids</w:t>
      </w:r>
    </w:p>
    <w:p w14:paraId="39823BB8" w14:textId="77777777" w:rsidR="00682BFF" w:rsidRPr="00305E69" w:rsidRDefault="00E72B09" w:rsidP="00682BFF">
      <w:pPr>
        <w:pStyle w:val="ListParagraph"/>
        <w:numPr>
          <w:ilvl w:val="0"/>
          <w:numId w:val="19"/>
        </w:numPr>
        <w:spacing w:after="0"/>
        <w:textAlignment w:val="baseline"/>
        <w:rPr>
          <w:rFonts w:cs="Times New Roman"/>
          <w:szCs w:val="24"/>
        </w:rPr>
      </w:pPr>
      <w:r w:rsidRPr="00305E69">
        <w:rPr>
          <w:rFonts w:cs="Times New Roman"/>
          <w:szCs w:val="24"/>
        </w:rPr>
        <w:t xml:space="preserve">Administration of </w:t>
      </w:r>
      <w:r w:rsidR="006C3ADE" w:rsidRPr="00305E69">
        <w:rPr>
          <w:rFonts w:cs="Times New Roman"/>
          <w:szCs w:val="24"/>
        </w:rPr>
        <w:t xml:space="preserve">biological </w:t>
      </w:r>
      <w:r w:rsidRPr="00305E69">
        <w:rPr>
          <w:rFonts w:cs="Times New Roman"/>
          <w:szCs w:val="24"/>
        </w:rPr>
        <w:t>materials to l</w:t>
      </w:r>
      <w:r w:rsidR="00E13E6F" w:rsidRPr="00305E69">
        <w:rPr>
          <w:rFonts w:cs="Times New Roman"/>
          <w:szCs w:val="24"/>
        </w:rPr>
        <w:t>ive animals (vertebrate or invertebrate)</w:t>
      </w:r>
      <w:r w:rsidR="002837B2" w:rsidRPr="00305E69">
        <w:rPr>
          <w:rFonts w:cs="Times New Roman"/>
          <w:szCs w:val="24"/>
        </w:rPr>
        <w:t xml:space="preserve"> </w:t>
      </w:r>
    </w:p>
    <w:p w14:paraId="5439DD7B" w14:textId="77777777" w:rsidR="00682BFF" w:rsidRPr="00305E69" w:rsidRDefault="00682BFF" w:rsidP="00682BFF">
      <w:pPr>
        <w:spacing w:after="0"/>
        <w:textAlignment w:val="baseline"/>
        <w:rPr>
          <w:rFonts w:cs="Times New Roman"/>
          <w:szCs w:val="24"/>
        </w:rPr>
      </w:pPr>
    </w:p>
    <w:p w14:paraId="4AF29724" w14:textId="77777777" w:rsidR="00017514" w:rsidRPr="00305E69" w:rsidRDefault="00BA4B96" w:rsidP="00017514">
      <w:pPr>
        <w:pStyle w:val="ListParagraph"/>
        <w:numPr>
          <w:ilvl w:val="0"/>
          <w:numId w:val="9"/>
        </w:numPr>
        <w:spacing w:after="0"/>
        <w:textAlignment w:val="baseline"/>
        <w:rPr>
          <w:rFonts w:cs="Times New Roman"/>
          <w:szCs w:val="24"/>
        </w:rPr>
      </w:pPr>
      <w:r w:rsidRPr="00305E69">
        <w:rPr>
          <w:rFonts w:cs="Times New Roman"/>
          <w:szCs w:val="24"/>
        </w:rPr>
        <w:t>The IBC will use the following regulations</w:t>
      </w:r>
      <w:r w:rsidR="00C20732" w:rsidRPr="00305E69">
        <w:rPr>
          <w:rFonts w:cs="Times New Roman"/>
          <w:szCs w:val="24"/>
        </w:rPr>
        <w:t xml:space="preserve">, state statutes, </w:t>
      </w:r>
      <w:r w:rsidRPr="00305E69">
        <w:rPr>
          <w:rFonts w:cs="Times New Roman"/>
          <w:szCs w:val="24"/>
        </w:rPr>
        <w:t>guidelines, and institutional polices when conducting their review:</w:t>
      </w:r>
    </w:p>
    <w:p w14:paraId="579D29A7" w14:textId="77777777" w:rsidR="00017514" w:rsidRPr="00DB1977" w:rsidRDefault="00381929" w:rsidP="00017514">
      <w:pPr>
        <w:pStyle w:val="ListParagraph"/>
        <w:numPr>
          <w:ilvl w:val="1"/>
          <w:numId w:val="9"/>
        </w:numPr>
        <w:rPr>
          <w:rFonts w:cs="Times New Roman"/>
          <w:i/>
          <w:szCs w:val="24"/>
        </w:rPr>
      </w:pPr>
      <w:hyperlink r:id="rId11" w:history="1">
        <w:r w:rsidR="00017514" w:rsidRPr="00544574">
          <w:rPr>
            <w:rStyle w:val="Hyperlink"/>
            <w:rFonts w:cs="Times New Roman"/>
            <w:i/>
            <w:szCs w:val="24"/>
          </w:rPr>
          <w:t xml:space="preserve">NIH Guidelines for Research Involving Recombinant or Synthetic Nucleic Acid Molecules (NIH Guidelines), </w:t>
        </w:r>
      </w:hyperlink>
      <w:r w:rsidR="00EF65F1" w:rsidRPr="00544574">
        <w:rPr>
          <w:rStyle w:val="Hyperlink"/>
          <w:rFonts w:cs="Times New Roman"/>
          <w:i/>
          <w:szCs w:val="24"/>
        </w:rPr>
        <w:t>April 2016</w:t>
      </w:r>
      <w:r w:rsidR="00017514" w:rsidRPr="00544574">
        <w:rPr>
          <w:rFonts w:cs="Times New Roman"/>
          <w:i/>
          <w:szCs w:val="24"/>
        </w:rPr>
        <w:t xml:space="preserve"> </w:t>
      </w:r>
      <w:r w:rsidR="00EF65F1" w:rsidRPr="00544574">
        <w:rPr>
          <w:rFonts w:cs="Times New Roman"/>
          <w:i/>
          <w:szCs w:val="24"/>
        </w:rPr>
        <w:t>Edition</w:t>
      </w:r>
    </w:p>
    <w:p w14:paraId="4353C2E2" w14:textId="77777777" w:rsidR="00017514" w:rsidRPr="00544574" w:rsidRDefault="00381929" w:rsidP="00017514">
      <w:pPr>
        <w:pStyle w:val="ListParagraph"/>
        <w:numPr>
          <w:ilvl w:val="1"/>
          <w:numId w:val="9"/>
        </w:numPr>
        <w:rPr>
          <w:rFonts w:cs="Times New Roman"/>
          <w:i/>
          <w:szCs w:val="24"/>
        </w:rPr>
      </w:pPr>
      <w:hyperlink r:id="rId12" w:history="1">
        <w:r w:rsidR="00017514" w:rsidRPr="00544574">
          <w:rPr>
            <w:rStyle w:val="Hyperlink"/>
            <w:rFonts w:cs="Times New Roman"/>
            <w:i/>
            <w:szCs w:val="24"/>
          </w:rPr>
          <w:t>Biosafety in Microbiological and Biomedical Laboratories, 5</w:t>
        </w:r>
        <w:r w:rsidR="00017514" w:rsidRPr="00544574">
          <w:rPr>
            <w:rStyle w:val="Hyperlink"/>
            <w:rFonts w:cs="Times New Roman"/>
            <w:i/>
            <w:szCs w:val="24"/>
            <w:vertAlign w:val="superscript"/>
          </w:rPr>
          <w:t>th</w:t>
        </w:r>
        <w:r w:rsidR="00017514" w:rsidRPr="00DB1977">
          <w:rPr>
            <w:rStyle w:val="Hyperlink"/>
            <w:rFonts w:cs="Times New Roman"/>
            <w:i/>
            <w:szCs w:val="24"/>
          </w:rPr>
          <w:t xml:space="preserve"> Edition (BMBL)</w:t>
        </w:r>
      </w:hyperlink>
    </w:p>
    <w:p w14:paraId="7F68426C" w14:textId="77777777" w:rsidR="00017514" w:rsidRPr="00544574" w:rsidRDefault="00381929" w:rsidP="00017514">
      <w:pPr>
        <w:pStyle w:val="ListParagraph"/>
        <w:numPr>
          <w:ilvl w:val="1"/>
          <w:numId w:val="9"/>
        </w:numPr>
        <w:rPr>
          <w:rStyle w:val="Hyperlink"/>
          <w:rFonts w:cs="Times New Roman"/>
          <w:color w:val="auto"/>
          <w:szCs w:val="24"/>
          <w:u w:val="none"/>
        </w:rPr>
      </w:pPr>
      <w:hyperlink r:id="rId13" w:history="1">
        <w:r w:rsidR="00017514" w:rsidRPr="00305E69">
          <w:rPr>
            <w:rStyle w:val="Hyperlink"/>
            <w:rFonts w:cs="Times New Roman"/>
            <w:szCs w:val="24"/>
          </w:rPr>
          <w:t xml:space="preserve">Occupational Safety and Health Administration (OSHA) </w:t>
        </w:r>
        <w:r w:rsidR="00DA4B4F" w:rsidRPr="00305E69">
          <w:rPr>
            <w:rStyle w:val="Hyperlink"/>
            <w:rFonts w:cs="Times New Roman"/>
            <w:szCs w:val="24"/>
          </w:rPr>
          <w:t>Blood borne</w:t>
        </w:r>
        <w:r w:rsidR="00017514" w:rsidRPr="00305E69">
          <w:rPr>
            <w:rStyle w:val="Hyperlink"/>
            <w:rFonts w:cs="Times New Roman"/>
            <w:szCs w:val="24"/>
          </w:rPr>
          <w:t xml:space="preserve"> Pathogens Standard, 29 CFR 1910.1030</w:t>
        </w:r>
      </w:hyperlink>
    </w:p>
    <w:p w14:paraId="5DC91FC5" w14:textId="77777777" w:rsidR="00BA4B96" w:rsidRPr="00544574" w:rsidRDefault="00381929" w:rsidP="00017514">
      <w:pPr>
        <w:pStyle w:val="ListParagraph"/>
        <w:numPr>
          <w:ilvl w:val="1"/>
          <w:numId w:val="9"/>
        </w:numPr>
        <w:rPr>
          <w:rStyle w:val="Hyperlink"/>
          <w:rFonts w:cs="Times New Roman"/>
          <w:color w:val="auto"/>
          <w:szCs w:val="24"/>
          <w:u w:val="none"/>
        </w:rPr>
      </w:pPr>
      <w:hyperlink r:id="rId14" w:history="1">
        <w:r w:rsidR="00BA4B96" w:rsidRPr="00305E69">
          <w:rPr>
            <w:rStyle w:val="Hyperlink"/>
            <w:rFonts w:cs="Times New Roman"/>
            <w:szCs w:val="24"/>
          </w:rPr>
          <w:t>ANSI</w:t>
        </w:r>
        <w:r w:rsidR="008C7A58" w:rsidRPr="00305E69">
          <w:rPr>
            <w:rStyle w:val="Hyperlink"/>
            <w:rFonts w:cs="Times New Roman"/>
            <w:szCs w:val="24"/>
          </w:rPr>
          <w:t xml:space="preserve"> Laboratory Safety Standards</w:t>
        </w:r>
      </w:hyperlink>
    </w:p>
    <w:p w14:paraId="07D4B032" w14:textId="77777777" w:rsidR="00FC5273" w:rsidRPr="00544574" w:rsidRDefault="00381929" w:rsidP="00017514">
      <w:pPr>
        <w:pStyle w:val="ListParagraph"/>
        <w:numPr>
          <w:ilvl w:val="1"/>
          <w:numId w:val="9"/>
        </w:numPr>
        <w:rPr>
          <w:rFonts w:cs="Times New Roman"/>
          <w:szCs w:val="24"/>
        </w:rPr>
      </w:pPr>
      <w:hyperlink r:id="rId15" w:history="1">
        <w:r w:rsidR="00FC5273" w:rsidRPr="00305E69">
          <w:rPr>
            <w:rStyle w:val="Hyperlink"/>
            <w:rFonts w:cs="Times New Roman"/>
            <w:szCs w:val="24"/>
          </w:rPr>
          <w:t>DNR Regulations</w:t>
        </w:r>
      </w:hyperlink>
    </w:p>
    <w:p w14:paraId="057829A9" w14:textId="77777777" w:rsidR="00017514" w:rsidRDefault="00381929" w:rsidP="00017514">
      <w:pPr>
        <w:pStyle w:val="ListParagraph"/>
        <w:numPr>
          <w:ilvl w:val="1"/>
          <w:numId w:val="9"/>
        </w:numPr>
        <w:rPr>
          <w:rFonts w:cs="Times New Roman"/>
        </w:rPr>
      </w:pPr>
      <w:hyperlink r:id="rId16" w:history="1">
        <w:r w:rsidR="00017514" w:rsidRPr="00544574">
          <w:rPr>
            <w:rStyle w:val="Hyperlink"/>
            <w:rFonts w:cs="Times New Roman"/>
            <w:szCs w:val="24"/>
          </w:rPr>
          <w:t>University of Wisconsin Oshkosh Biological Safety Program Manual</w:t>
        </w:r>
      </w:hyperlink>
    </w:p>
    <w:p w14:paraId="6DE2F469" w14:textId="77777777" w:rsidR="00812505" w:rsidRDefault="00812505" w:rsidP="00017514">
      <w:pPr>
        <w:pStyle w:val="ListParagraph"/>
        <w:numPr>
          <w:ilvl w:val="1"/>
          <w:numId w:val="9"/>
        </w:numPr>
        <w:rPr>
          <w:rFonts w:cs="Times New Roman"/>
        </w:rPr>
      </w:pPr>
      <w:r>
        <w:rPr>
          <w:rFonts w:cs="Times New Roman"/>
        </w:rPr>
        <w:t xml:space="preserve">IBC </w:t>
      </w:r>
      <w:r w:rsidR="00EF65F1">
        <w:rPr>
          <w:rFonts w:cs="Times New Roman"/>
        </w:rPr>
        <w:t xml:space="preserve"> Standards and Policies</w:t>
      </w:r>
    </w:p>
    <w:p w14:paraId="36C74CF1" w14:textId="77777777" w:rsidR="00EF65F1" w:rsidRDefault="00EF65F1" w:rsidP="00017514">
      <w:pPr>
        <w:pStyle w:val="ListParagraph"/>
        <w:numPr>
          <w:ilvl w:val="1"/>
          <w:numId w:val="9"/>
        </w:numPr>
        <w:rPr>
          <w:rFonts w:cs="Times New Roman"/>
        </w:rPr>
      </w:pPr>
      <w:r>
        <w:rPr>
          <w:rFonts w:cs="Times New Roman"/>
        </w:rPr>
        <w:t>Institutional Policies</w:t>
      </w:r>
    </w:p>
    <w:p w14:paraId="16DF8981" w14:textId="77777777" w:rsidR="00BE1515" w:rsidRPr="00BE1515" w:rsidRDefault="00BE1515" w:rsidP="00BE1515">
      <w:pPr>
        <w:spacing w:after="0"/>
        <w:textAlignment w:val="baseline"/>
        <w:rPr>
          <w:rFonts w:cs="Times New Roman"/>
          <w:color w:val="444444"/>
          <w:szCs w:val="24"/>
        </w:rPr>
      </w:pPr>
    </w:p>
    <w:p w14:paraId="18AAC613" w14:textId="77777777" w:rsidR="0048417F" w:rsidRPr="00305E69" w:rsidRDefault="0048417F" w:rsidP="000577F6">
      <w:pPr>
        <w:pStyle w:val="ListParagraph"/>
        <w:numPr>
          <w:ilvl w:val="0"/>
          <w:numId w:val="9"/>
        </w:numPr>
        <w:spacing w:after="0"/>
        <w:textAlignment w:val="baseline"/>
        <w:rPr>
          <w:rFonts w:cs="Times New Roman"/>
          <w:szCs w:val="24"/>
        </w:rPr>
      </w:pPr>
      <w:r w:rsidRPr="00305E69">
        <w:rPr>
          <w:rFonts w:cs="Times New Roman"/>
          <w:szCs w:val="24"/>
        </w:rPr>
        <w:t>The</w:t>
      </w:r>
      <w:r>
        <w:rPr>
          <w:rFonts w:cs="Times New Roman"/>
          <w:color w:val="444444"/>
          <w:szCs w:val="24"/>
        </w:rPr>
        <w:t xml:space="preserve"> </w:t>
      </w:r>
      <w:hyperlink r:id="rId17" w:history="1">
        <w:r w:rsidRPr="00322F95">
          <w:rPr>
            <w:rStyle w:val="Hyperlink"/>
            <w:rFonts w:cs="Times New Roman"/>
            <w:b/>
            <w:szCs w:val="24"/>
          </w:rPr>
          <w:t xml:space="preserve">IBC Application Companion </w:t>
        </w:r>
        <w:r w:rsidR="00FA1665" w:rsidRPr="00322F95">
          <w:rPr>
            <w:rStyle w:val="Hyperlink"/>
            <w:rFonts w:cs="Times New Roman"/>
            <w:b/>
            <w:szCs w:val="24"/>
          </w:rPr>
          <w:t xml:space="preserve">Help </w:t>
        </w:r>
        <w:r w:rsidRPr="00322F95">
          <w:rPr>
            <w:rStyle w:val="Hyperlink"/>
            <w:rFonts w:cs="Times New Roman"/>
            <w:b/>
            <w:szCs w:val="24"/>
          </w:rPr>
          <w:t>Guide</w:t>
        </w:r>
      </w:hyperlink>
      <w:r>
        <w:rPr>
          <w:rFonts w:cs="Times New Roman"/>
          <w:color w:val="444444"/>
          <w:szCs w:val="24"/>
        </w:rPr>
        <w:t xml:space="preserve"> </w:t>
      </w:r>
      <w:r w:rsidRPr="00305E69">
        <w:rPr>
          <w:rFonts w:cs="Times New Roman"/>
          <w:szCs w:val="24"/>
        </w:rPr>
        <w:t xml:space="preserve">may </w:t>
      </w:r>
      <w:r w:rsidR="00A359B6" w:rsidRPr="00305E69">
        <w:rPr>
          <w:rFonts w:cs="Times New Roman"/>
          <w:szCs w:val="24"/>
        </w:rPr>
        <w:t xml:space="preserve">be used as a </w:t>
      </w:r>
      <w:r w:rsidR="00F94E07" w:rsidRPr="00305E69">
        <w:rPr>
          <w:rFonts w:cs="Times New Roman"/>
          <w:szCs w:val="24"/>
        </w:rPr>
        <w:t>guide</w:t>
      </w:r>
      <w:r w:rsidR="00A359B6" w:rsidRPr="00305E69">
        <w:rPr>
          <w:rFonts w:cs="Times New Roman"/>
          <w:szCs w:val="24"/>
        </w:rPr>
        <w:t xml:space="preserve"> for </w:t>
      </w:r>
      <w:r w:rsidR="00C22AAE" w:rsidRPr="00305E69">
        <w:rPr>
          <w:rFonts w:cs="Times New Roman"/>
          <w:szCs w:val="24"/>
        </w:rPr>
        <w:t>faculty and staff preparing their applications.</w:t>
      </w:r>
      <w:r w:rsidR="00BE1515" w:rsidRPr="00305E69">
        <w:rPr>
          <w:rFonts w:cs="Times New Roman"/>
          <w:szCs w:val="24"/>
        </w:rPr>
        <w:t xml:space="preserve">  </w:t>
      </w:r>
    </w:p>
    <w:p w14:paraId="6A7D80D2" w14:textId="77777777" w:rsidR="00504B86" w:rsidRPr="00305E69" w:rsidRDefault="00504B86" w:rsidP="00504B86">
      <w:pPr>
        <w:pStyle w:val="ListParagraph"/>
        <w:spacing w:after="0"/>
        <w:textAlignment w:val="baseline"/>
        <w:rPr>
          <w:rFonts w:cs="Times New Roman"/>
          <w:szCs w:val="24"/>
        </w:rPr>
      </w:pPr>
    </w:p>
    <w:p w14:paraId="6BC3E1C9" w14:textId="77777777" w:rsidR="001E36AE" w:rsidRPr="00305E69" w:rsidRDefault="00FA1665" w:rsidP="000577F6">
      <w:pPr>
        <w:pStyle w:val="ListParagraph"/>
        <w:numPr>
          <w:ilvl w:val="0"/>
          <w:numId w:val="9"/>
        </w:numPr>
        <w:spacing w:after="0"/>
        <w:textAlignment w:val="baseline"/>
        <w:rPr>
          <w:rFonts w:cs="Times New Roman"/>
          <w:szCs w:val="24"/>
        </w:rPr>
      </w:pPr>
      <w:r w:rsidRPr="00305E69">
        <w:rPr>
          <w:rFonts w:cs="Times New Roman"/>
          <w:szCs w:val="24"/>
        </w:rPr>
        <w:lastRenderedPageBreak/>
        <w:t xml:space="preserve">For research or teaching experiments involving recombinant or synthetic nucleic acid molecules, the PI will </w:t>
      </w:r>
      <w:r w:rsidR="001919D8" w:rsidRPr="00305E69">
        <w:rPr>
          <w:rFonts w:cs="Times New Roman"/>
          <w:szCs w:val="24"/>
        </w:rPr>
        <w:t xml:space="preserve">cite </w:t>
      </w:r>
      <w:r w:rsidR="00F94E07" w:rsidRPr="00305E69">
        <w:rPr>
          <w:rFonts w:cs="Times New Roman"/>
          <w:szCs w:val="24"/>
        </w:rPr>
        <w:t xml:space="preserve">all applicable categories of research </w:t>
      </w:r>
      <w:r w:rsidR="001919D8" w:rsidRPr="00305E69">
        <w:rPr>
          <w:rFonts w:cs="Times New Roman"/>
          <w:szCs w:val="24"/>
        </w:rPr>
        <w:t xml:space="preserve">as </w:t>
      </w:r>
      <w:r w:rsidR="00857136" w:rsidRPr="00305E69">
        <w:rPr>
          <w:rFonts w:cs="Times New Roman"/>
          <w:szCs w:val="24"/>
        </w:rPr>
        <w:t xml:space="preserve">defined </w:t>
      </w:r>
      <w:r w:rsidR="00FB5578" w:rsidRPr="00305E69">
        <w:rPr>
          <w:rFonts w:cs="Times New Roman"/>
          <w:szCs w:val="24"/>
        </w:rPr>
        <w:t>in the</w:t>
      </w:r>
      <w:r w:rsidR="00857136" w:rsidRPr="00305E69">
        <w:rPr>
          <w:rFonts w:cs="Times New Roman"/>
          <w:szCs w:val="24"/>
        </w:rPr>
        <w:t xml:space="preserve"> NIH Guidelines</w:t>
      </w:r>
      <w:r w:rsidR="00CC2973" w:rsidRPr="00305E69">
        <w:rPr>
          <w:rFonts w:cs="Times New Roman"/>
          <w:szCs w:val="24"/>
        </w:rPr>
        <w:t xml:space="preserve"> (</w:t>
      </w:r>
      <w:r w:rsidR="00CC2973" w:rsidRPr="00305E69">
        <w:rPr>
          <w:rFonts w:cs="Times New Roman"/>
          <w:b/>
          <w:szCs w:val="24"/>
        </w:rPr>
        <w:t>see Appendix A</w:t>
      </w:r>
      <w:r w:rsidR="00C31269" w:rsidRPr="00305E69">
        <w:rPr>
          <w:rFonts w:cs="Times New Roman"/>
          <w:b/>
          <w:szCs w:val="24"/>
        </w:rPr>
        <w:t xml:space="preserve">: </w:t>
      </w:r>
      <w:r w:rsidR="00C31269" w:rsidRPr="00305E69">
        <w:rPr>
          <w:rFonts w:cs="Times New Roman"/>
          <w:b/>
          <w:bCs/>
          <w:szCs w:val="24"/>
        </w:rPr>
        <w:t>Research Involving Recombinant or Synthetic Nucleic Acid Molecules</w:t>
      </w:r>
      <w:r w:rsidR="00CC2973" w:rsidRPr="00305E69">
        <w:rPr>
          <w:rFonts w:cs="Times New Roman"/>
          <w:szCs w:val="24"/>
        </w:rPr>
        <w:t>)</w:t>
      </w:r>
      <w:r w:rsidR="00FB5578" w:rsidRPr="00305E69">
        <w:rPr>
          <w:rFonts w:cs="Times New Roman"/>
          <w:szCs w:val="24"/>
        </w:rPr>
        <w:t xml:space="preserve">. </w:t>
      </w:r>
    </w:p>
    <w:p w14:paraId="54B9D2A1" w14:textId="77777777" w:rsidR="00504B86" w:rsidRPr="00305E69" w:rsidRDefault="00504B86" w:rsidP="00504B86">
      <w:pPr>
        <w:pStyle w:val="ListParagraph"/>
        <w:rPr>
          <w:rFonts w:cs="Times New Roman"/>
          <w:szCs w:val="24"/>
        </w:rPr>
      </w:pPr>
    </w:p>
    <w:p w14:paraId="77D25901" w14:textId="77777777" w:rsidR="006E1F4A" w:rsidRPr="00305E69" w:rsidRDefault="006E1F4A" w:rsidP="000577F6">
      <w:pPr>
        <w:pStyle w:val="ListParagraph"/>
        <w:numPr>
          <w:ilvl w:val="0"/>
          <w:numId w:val="9"/>
        </w:numPr>
        <w:spacing w:after="0"/>
        <w:textAlignment w:val="baseline"/>
        <w:rPr>
          <w:rFonts w:cs="Times New Roman"/>
          <w:szCs w:val="24"/>
        </w:rPr>
      </w:pPr>
      <w:r w:rsidRPr="00305E69">
        <w:rPr>
          <w:rFonts w:cs="Times New Roman"/>
          <w:szCs w:val="24"/>
        </w:rPr>
        <w:t xml:space="preserve">Training requirements for faculty, staff, and students </w:t>
      </w:r>
      <w:r w:rsidR="00C72930" w:rsidRPr="00305E69">
        <w:rPr>
          <w:rFonts w:cs="Times New Roman"/>
          <w:szCs w:val="24"/>
        </w:rPr>
        <w:t xml:space="preserve">based on project type </w:t>
      </w:r>
      <w:r w:rsidR="008D5CB1" w:rsidRPr="00305E69">
        <w:rPr>
          <w:rFonts w:cs="Times New Roman"/>
          <w:szCs w:val="24"/>
        </w:rPr>
        <w:t xml:space="preserve">(research vs. teaching) </w:t>
      </w:r>
      <w:r w:rsidR="001B0B01" w:rsidRPr="00305E69">
        <w:rPr>
          <w:rFonts w:cs="Times New Roman"/>
          <w:szCs w:val="24"/>
        </w:rPr>
        <w:t xml:space="preserve">can be found </w:t>
      </w:r>
      <w:r w:rsidR="00C72930" w:rsidRPr="00305E69">
        <w:rPr>
          <w:rFonts w:cs="Times New Roman"/>
          <w:szCs w:val="24"/>
        </w:rPr>
        <w:t xml:space="preserve">on the </w:t>
      </w:r>
      <w:hyperlink r:id="rId18" w:history="1">
        <w:r w:rsidR="000405A5" w:rsidRPr="00C13B08">
          <w:rPr>
            <w:rStyle w:val="Hyperlink"/>
            <w:rFonts w:cs="Times New Roman"/>
            <w:szCs w:val="24"/>
          </w:rPr>
          <w:t>I</w:t>
        </w:r>
        <w:r w:rsidR="00C72930" w:rsidRPr="00C13B08">
          <w:rPr>
            <w:rStyle w:val="Hyperlink"/>
            <w:rFonts w:cs="Times New Roman"/>
            <w:szCs w:val="24"/>
          </w:rPr>
          <w:t>BC Training</w:t>
        </w:r>
      </w:hyperlink>
      <w:r w:rsidR="00C72930" w:rsidRPr="00C13B08">
        <w:rPr>
          <w:rFonts w:cs="Times New Roman"/>
          <w:color w:val="444444"/>
          <w:szCs w:val="24"/>
        </w:rPr>
        <w:t xml:space="preserve"> </w:t>
      </w:r>
      <w:r w:rsidR="00C72930" w:rsidRPr="00305E69">
        <w:rPr>
          <w:rFonts w:cs="Times New Roman"/>
          <w:szCs w:val="24"/>
        </w:rPr>
        <w:t>page.</w:t>
      </w:r>
    </w:p>
    <w:p w14:paraId="5BAD787E" w14:textId="77777777" w:rsidR="001E36AE" w:rsidRPr="00305E69" w:rsidRDefault="001E36AE" w:rsidP="001E36AE">
      <w:pPr>
        <w:spacing w:after="0"/>
        <w:textAlignment w:val="baseline"/>
        <w:rPr>
          <w:rFonts w:cs="Times New Roman"/>
          <w:szCs w:val="24"/>
        </w:rPr>
      </w:pPr>
    </w:p>
    <w:p w14:paraId="28F460CD" w14:textId="77777777" w:rsidR="001E36AE" w:rsidRPr="00305E69" w:rsidRDefault="00414291" w:rsidP="001E36AE">
      <w:pPr>
        <w:spacing w:after="0"/>
        <w:textAlignment w:val="baseline"/>
        <w:rPr>
          <w:rFonts w:cs="Times New Roman"/>
          <w:b/>
          <w:szCs w:val="24"/>
          <w:u w:val="single"/>
        </w:rPr>
      </w:pPr>
      <w:r w:rsidRPr="00305E69">
        <w:rPr>
          <w:rFonts w:cs="Times New Roman"/>
          <w:b/>
          <w:szCs w:val="24"/>
        </w:rPr>
        <w:t>B.</w:t>
      </w:r>
      <w:r w:rsidR="004A545F" w:rsidRPr="00305E69">
        <w:rPr>
          <w:rFonts w:cs="Times New Roman"/>
          <w:b/>
          <w:szCs w:val="24"/>
        </w:rPr>
        <w:t xml:space="preserve"> </w:t>
      </w:r>
      <w:r w:rsidRPr="00305E69">
        <w:rPr>
          <w:rFonts w:cs="Times New Roman"/>
          <w:b/>
          <w:szCs w:val="24"/>
        </w:rPr>
        <w:t xml:space="preserve"> </w:t>
      </w:r>
      <w:r w:rsidR="001E36AE" w:rsidRPr="00305E69">
        <w:rPr>
          <w:rFonts w:cs="Times New Roman"/>
          <w:b/>
          <w:szCs w:val="24"/>
          <w:u w:val="single"/>
        </w:rPr>
        <w:t>Review</w:t>
      </w:r>
      <w:r w:rsidR="006E1F4A" w:rsidRPr="00305E69">
        <w:rPr>
          <w:rFonts w:cs="Times New Roman"/>
          <w:b/>
          <w:szCs w:val="24"/>
          <w:u w:val="single"/>
        </w:rPr>
        <w:t xml:space="preserve"> of </w:t>
      </w:r>
      <w:r w:rsidR="0007236B" w:rsidRPr="00305E69">
        <w:rPr>
          <w:rFonts w:cs="Times New Roman"/>
          <w:b/>
          <w:szCs w:val="24"/>
          <w:u w:val="single"/>
        </w:rPr>
        <w:t xml:space="preserve">New and Renewal </w:t>
      </w:r>
      <w:r w:rsidR="006E1F4A" w:rsidRPr="00305E69">
        <w:rPr>
          <w:rFonts w:cs="Times New Roman"/>
          <w:b/>
          <w:szCs w:val="24"/>
          <w:u w:val="single"/>
        </w:rPr>
        <w:t xml:space="preserve">IBC </w:t>
      </w:r>
      <w:r w:rsidR="008E5510" w:rsidRPr="00305E69">
        <w:rPr>
          <w:rFonts w:cs="Times New Roman"/>
          <w:b/>
          <w:szCs w:val="24"/>
          <w:u w:val="single"/>
        </w:rPr>
        <w:t>Applications</w:t>
      </w:r>
    </w:p>
    <w:p w14:paraId="423268F2" w14:textId="77777777" w:rsidR="007361AB" w:rsidRPr="00305E69" w:rsidRDefault="007361AB" w:rsidP="001E36AE">
      <w:pPr>
        <w:spacing w:after="0"/>
        <w:textAlignment w:val="baseline"/>
        <w:rPr>
          <w:rFonts w:cs="Times New Roman"/>
          <w:b/>
          <w:szCs w:val="24"/>
          <w:u w:val="single"/>
        </w:rPr>
      </w:pPr>
    </w:p>
    <w:p w14:paraId="22F0E8E7" w14:textId="77777777" w:rsidR="00FC654C" w:rsidRPr="00305E69" w:rsidRDefault="00E92B3B" w:rsidP="0051729C">
      <w:pPr>
        <w:pStyle w:val="ListParagraph"/>
        <w:numPr>
          <w:ilvl w:val="0"/>
          <w:numId w:val="21"/>
        </w:numPr>
        <w:spacing w:after="0"/>
        <w:textAlignment w:val="baseline"/>
        <w:rPr>
          <w:rFonts w:cs="Times New Roman"/>
          <w:szCs w:val="24"/>
        </w:rPr>
      </w:pPr>
      <w:r w:rsidRPr="00305E69">
        <w:rPr>
          <w:rFonts w:cs="Times New Roman"/>
          <w:b/>
          <w:szCs w:val="24"/>
        </w:rPr>
        <w:t>Initial Review of IBC Applications</w:t>
      </w:r>
      <w:r w:rsidRPr="00305E69">
        <w:rPr>
          <w:rFonts w:cs="Times New Roman"/>
          <w:szCs w:val="24"/>
        </w:rPr>
        <w:t xml:space="preserve">:  </w:t>
      </w:r>
      <w:r w:rsidR="00FC654C" w:rsidRPr="00305E69">
        <w:rPr>
          <w:rFonts w:cs="Times New Roman"/>
          <w:szCs w:val="24"/>
        </w:rPr>
        <w:t xml:space="preserve">Initial review of </w:t>
      </w:r>
      <w:r w:rsidR="00941FF1" w:rsidRPr="00305E69">
        <w:rPr>
          <w:rFonts w:cs="Times New Roman"/>
          <w:szCs w:val="24"/>
        </w:rPr>
        <w:t>IBC A</w:t>
      </w:r>
      <w:r w:rsidR="00FC654C" w:rsidRPr="00305E69">
        <w:rPr>
          <w:rFonts w:cs="Times New Roman"/>
          <w:szCs w:val="24"/>
        </w:rPr>
        <w:t>pplications will be conducted by the IBC Chair</w:t>
      </w:r>
      <w:r w:rsidR="006B1794" w:rsidRPr="00305E69">
        <w:rPr>
          <w:rFonts w:cs="Times New Roman"/>
          <w:szCs w:val="24"/>
        </w:rPr>
        <w:t>, Biological Safety Officer</w:t>
      </w:r>
      <w:r w:rsidR="008B3729" w:rsidRPr="00305E69">
        <w:rPr>
          <w:rFonts w:cs="Times New Roman"/>
          <w:szCs w:val="24"/>
        </w:rPr>
        <w:t xml:space="preserve"> (BSO)</w:t>
      </w:r>
      <w:r w:rsidR="006B1794" w:rsidRPr="00305E69">
        <w:rPr>
          <w:rFonts w:cs="Times New Roman"/>
          <w:szCs w:val="24"/>
        </w:rPr>
        <w:t>, or a</w:t>
      </w:r>
      <w:r w:rsidR="000B6273" w:rsidRPr="00305E69">
        <w:rPr>
          <w:rFonts w:cs="Times New Roman"/>
          <w:szCs w:val="24"/>
        </w:rPr>
        <w:t>nother</w:t>
      </w:r>
      <w:r w:rsidR="006B1794" w:rsidRPr="00305E69">
        <w:rPr>
          <w:rFonts w:cs="Times New Roman"/>
          <w:szCs w:val="24"/>
        </w:rPr>
        <w:t xml:space="preserve"> member of the IBC designated b</w:t>
      </w:r>
      <w:r w:rsidR="00941FF1" w:rsidRPr="00305E69">
        <w:rPr>
          <w:rFonts w:cs="Times New Roman"/>
          <w:szCs w:val="24"/>
        </w:rPr>
        <w:t xml:space="preserve">y the </w:t>
      </w:r>
      <w:r w:rsidR="000B6273" w:rsidRPr="00305E69">
        <w:rPr>
          <w:rFonts w:cs="Times New Roman"/>
          <w:szCs w:val="24"/>
        </w:rPr>
        <w:t>IBC C</w:t>
      </w:r>
      <w:r w:rsidR="00941FF1" w:rsidRPr="00305E69">
        <w:rPr>
          <w:rFonts w:cs="Times New Roman"/>
          <w:szCs w:val="24"/>
        </w:rPr>
        <w:t>hair</w:t>
      </w:r>
      <w:r w:rsidR="00533CD4" w:rsidRPr="00305E69">
        <w:rPr>
          <w:rFonts w:cs="Times New Roman"/>
          <w:szCs w:val="24"/>
        </w:rPr>
        <w:t xml:space="preserve">. </w:t>
      </w:r>
      <w:r w:rsidR="007D2AAA" w:rsidRPr="00305E69">
        <w:rPr>
          <w:rFonts w:cs="Times New Roman"/>
          <w:szCs w:val="24"/>
        </w:rPr>
        <w:t>The initial review</w:t>
      </w:r>
      <w:r w:rsidR="00047438" w:rsidRPr="00305E69">
        <w:rPr>
          <w:rFonts w:cs="Times New Roman"/>
          <w:szCs w:val="24"/>
        </w:rPr>
        <w:t xml:space="preserve"> will</w:t>
      </w:r>
      <w:r w:rsidR="007D2AAA" w:rsidRPr="00305E69">
        <w:rPr>
          <w:rFonts w:cs="Times New Roman"/>
          <w:szCs w:val="24"/>
        </w:rPr>
        <w:t xml:space="preserve"> determine what level of review is necessary for the protocol</w:t>
      </w:r>
      <w:r w:rsidR="0083605F" w:rsidRPr="00305E69">
        <w:rPr>
          <w:rFonts w:cs="Times New Roman"/>
          <w:szCs w:val="24"/>
        </w:rPr>
        <w:t xml:space="preserve"> based on the activities and whether the NIH Guidelines apply.</w:t>
      </w:r>
      <w:r w:rsidR="001B0B01" w:rsidRPr="00305E69">
        <w:rPr>
          <w:rFonts w:cs="Times New Roman"/>
          <w:szCs w:val="24"/>
        </w:rPr>
        <w:t xml:space="preserve"> The PI will be contacted to clarify any questions from the initial reviewer.</w:t>
      </w:r>
      <w:r w:rsidR="00533CD4" w:rsidRPr="00305E69">
        <w:rPr>
          <w:rFonts w:cs="Times New Roman"/>
          <w:szCs w:val="24"/>
        </w:rPr>
        <w:t xml:space="preserve"> </w:t>
      </w:r>
    </w:p>
    <w:p w14:paraId="0F23A95B" w14:textId="77777777" w:rsidR="00777137" w:rsidRPr="00305E69" w:rsidRDefault="00777137" w:rsidP="00777137">
      <w:pPr>
        <w:pStyle w:val="ListParagraph"/>
        <w:spacing w:after="0"/>
        <w:textAlignment w:val="baseline"/>
        <w:rPr>
          <w:rFonts w:cs="Times New Roman"/>
          <w:szCs w:val="24"/>
        </w:rPr>
      </w:pPr>
    </w:p>
    <w:p w14:paraId="6624CDD1" w14:textId="77777777" w:rsidR="001E36AE" w:rsidRPr="00305E69" w:rsidRDefault="006126BE" w:rsidP="000577F6">
      <w:pPr>
        <w:pStyle w:val="ListParagraph"/>
        <w:numPr>
          <w:ilvl w:val="0"/>
          <w:numId w:val="21"/>
        </w:numPr>
        <w:spacing w:after="0"/>
        <w:textAlignment w:val="baseline"/>
        <w:rPr>
          <w:rFonts w:cs="Times New Roman"/>
          <w:b/>
          <w:szCs w:val="24"/>
        </w:rPr>
      </w:pPr>
      <w:r w:rsidRPr="00305E69">
        <w:rPr>
          <w:rFonts w:cs="Times New Roman"/>
          <w:b/>
          <w:szCs w:val="24"/>
        </w:rPr>
        <w:t>Applications involving</w:t>
      </w:r>
      <w:r w:rsidRPr="00305E69">
        <w:rPr>
          <w:rFonts w:cs="Times New Roman"/>
          <w:szCs w:val="24"/>
        </w:rPr>
        <w:t xml:space="preserve"> </w:t>
      </w:r>
      <w:r w:rsidRPr="00305E69">
        <w:rPr>
          <w:rFonts w:cs="Times New Roman"/>
          <w:b/>
          <w:szCs w:val="24"/>
        </w:rPr>
        <w:t>r</w:t>
      </w:r>
      <w:r w:rsidR="009A4A3C" w:rsidRPr="00305E69">
        <w:rPr>
          <w:rFonts w:cs="Times New Roman"/>
          <w:b/>
          <w:szCs w:val="24"/>
        </w:rPr>
        <w:t xml:space="preserve">esearch or teaching experiments involving </w:t>
      </w:r>
      <w:r w:rsidR="009A4A3C" w:rsidRPr="00305E69">
        <w:rPr>
          <w:rFonts w:cs="Times New Roman"/>
          <w:b/>
          <w:szCs w:val="24"/>
          <w:u w:val="single"/>
        </w:rPr>
        <w:t>recombinant or synthetic nucleic acid molecules</w:t>
      </w:r>
      <w:r w:rsidR="001D6A4F" w:rsidRPr="00305E69">
        <w:rPr>
          <w:rFonts w:cs="Times New Roman"/>
          <w:b/>
          <w:szCs w:val="24"/>
        </w:rPr>
        <w:t>:</w:t>
      </w:r>
      <w:r w:rsidR="006A1853" w:rsidRPr="00305E69">
        <w:rPr>
          <w:rFonts w:cs="Times New Roman"/>
          <w:b/>
          <w:szCs w:val="24"/>
        </w:rPr>
        <w:t xml:space="preserve"> </w:t>
      </w:r>
    </w:p>
    <w:p w14:paraId="2CF8A8E3" w14:textId="77777777" w:rsidR="002312FF" w:rsidRPr="00305E69" w:rsidRDefault="008545B6" w:rsidP="000577F6">
      <w:pPr>
        <w:pStyle w:val="ListParagraph"/>
        <w:numPr>
          <w:ilvl w:val="1"/>
          <w:numId w:val="21"/>
        </w:numPr>
        <w:spacing w:after="0"/>
        <w:textAlignment w:val="baseline"/>
        <w:rPr>
          <w:rFonts w:cs="Times New Roman"/>
          <w:b/>
          <w:szCs w:val="24"/>
        </w:rPr>
      </w:pPr>
      <w:r w:rsidRPr="00305E69">
        <w:rPr>
          <w:rFonts w:cs="Times New Roman"/>
          <w:szCs w:val="24"/>
        </w:rPr>
        <w:t xml:space="preserve">Exempt </w:t>
      </w:r>
      <w:r w:rsidR="00060772" w:rsidRPr="00305E69">
        <w:rPr>
          <w:rFonts w:cs="Times New Roman"/>
          <w:szCs w:val="24"/>
        </w:rPr>
        <w:t>projects</w:t>
      </w:r>
      <w:r w:rsidRPr="00305E69">
        <w:rPr>
          <w:rFonts w:cs="Times New Roman"/>
          <w:szCs w:val="24"/>
        </w:rPr>
        <w:t>,</w:t>
      </w:r>
      <w:r w:rsidR="001E36AE" w:rsidRPr="00305E69">
        <w:rPr>
          <w:rFonts w:cs="Times New Roman"/>
          <w:szCs w:val="24"/>
        </w:rPr>
        <w:t xml:space="preserve"> as defined in the </w:t>
      </w:r>
      <w:hyperlink r:id="rId19" w:history="1">
        <w:r w:rsidR="001E36AE" w:rsidRPr="008839C0">
          <w:rPr>
            <w:rStyle w:val="Emphasis"/>
            <w:rFonts w:cs="Times New Roman"/>
            <w:b/>
            <w:bCs/>
            <w:color w:val="0077AD"/>
            <w:szCs w:val="24"/>
            <w:bdr w:val="none" w:sz="0" w:space="0" w:color="auto" w:frame="1"/>
          </w:rPr>
          <w:t>NIH Guidelines</w:t>
        </w:r>
      </w:hyperlink>
      <w:r w:rsidR="00383EC4" w:rsidRPr="008839C0">
        <w:rPr>
          <w:rFonts w:cs="Times New Roman"/>
          <w:color w:val="444444"/>
          <w:szCs w:val="24"/>
        </w:rPr>
        <w:t> </w:t>
      </w:r>
      <w:r w:rsidR="00383EC4" w:rsidRPr="00305E69">
        <w:rPr>
          <w:rFonts w:cs="Times New Roman"/>
          <w:szCs w:val="24"/>
        </w:rPr>
        <w:t xml:space="preserve">Section III-F, </w:t>
      </w:r>
      <w:r w:rsidR="001E36AE" w:rsidRPr="00305E69">
        <w:rPr>
          <w:rFonts w:cs="Times New Roman"/>
          <w:szCs w:val="24"/>
        </w:rPr>
        <w:t xml:space="preserve">shall be </w:t>
      </w:r>
      <w:r w:rsidR="00060772" w:rsidRPr="00305E69">
        <w:rPr>
          <w:rFonts w:cs="Times New Roman"/>
          <w:szCs w:val="24"/>
        </w:rPr>
        <w:t>designated for review</w:t>
      </w:r>
      <w:r w:rsidR="000D1A73" w:rsidRPr="00305E69">
        <w:rPr>
          <w:rFonts w:cs="Times New Roman"/>
          <w:szCs w:val="24"/>
        </w:rPr>
        <w:t xml:space="preserve"> </w:t>
      </w:r>
      <w:r w:rsidR="001E36AE" w:rsidRPr="00305E69">
        <w:rPr>
          <w:rFonts w:cs="Times New Roman"/>
          <w:szCs w:val="24"/>
        </w:rPr>
        <w:t>by the IBC Chair</w:t>
      </w:r>
      <w:r w:rsidR="009C547A" w:rsidRPr="00305E69">
        <w:rPr>
          <w:rFonts w:cs="Times New Roman"/>
          <w:szCs w:val="24"/>
        </w:rPr>
        <w:t>, Biological Safety Officer,</w:t>
      </w:r>
      <w:r w:rsidR="001E36AE" w:rsidRPr="00305E69">
        <w:rPr>
          <w:rFonts w:cs="Times New Roman"/>
          <w:szCs w:val="24"/>
        </w:rPr>
        <w:t xml:space="preserve"> or a member of the IBC </w:t>
      </w:r>
      <w:r w:rsidR="00060772" w:rsidRPr="00305E69">
        <w:rPr>
          <w:rFonts w:cs="Times New Roman"/>
          <w:szCs w:val="24"/>
        </w:rPr>
        <w:t>as determined</w:t>
      </w:r>
      <w:r w:rsidR="001E36AE" w:rsidRPr="00305E69">
        <w:rPr>
          <w:rFonts w:cs="Times New Roman"/>
          <w:szCs w:val="24"/>
        </w:rPr>
        <w:t xml:space="preserve"> by the </w:t>
      </w:r>
      <w:r w:rsidR="00CC6526" w:rsidRPr="00305E69">
        <w:rPr>
          <w:rFonts w:cs="Times New Roman"/>
          <w:szCs w:val="24"/>
        </w:rPr>
        <w:t>IBC C</w:t>
      </w:r>
      <w:r w:rsidR="001E36AE" w:rsidRPr="00305E69">
        <w:rPr>
          <w:rFonts w:cs="Times New Roman"/>
          <w:szCs w:val="24"/>
        </w:rPr>
        <w:t>hair</w:t>
      </w:r>
      <w:r w:rsidR="00060772" w:rsidRPr="00305E69">
        <w:rPr>
          <w:rFonts w:cs="Times New Roman"/>
          <w:szCs w:val="24"/>
        </w:rPr>
        <w:t>; the designated review</w:t>
      </w:r>
      <w:r w:rsidR="000006DD" w:rsidRPr="00305E69">
        <w:rPr>
          <w:rFonts w:cs="Times New Roman"/>
          <w:szCs w:val="24"/>
        </w:rPr>
        <w:t>er may make a determination to approve, approve with contingencies, or move to have the project reviewed by the full IBC. The IBC will be notified of these projects at the next properly convened IBC meeting</w:t>
      </w:r>
      <w:r w:rsidR="00211D65" w:rsidRPr="00305E69">
        <w:rPr>
          <w:rFonts w:cs="Times New Roman"/>
          <w:szCs w:val="24"/>
        </w:rPr>
        <w:t xml:space="preserve"> and any </w:t>
      </w:r>
      <w:r w:rsidR="000006DD" w:rsidRPr="00305E69">
        <w:rPr>
          <w:rFonts w:cs="Times New Roman"/>
          <w:szCs w:val="24"/>
        </w:rPr>
        <w:t xml:space="preserve">IBC member may request that the project </w:t>
      </w:r>
      <w:r w:rsidR="000D1A73" w:rsidRPr="00305E69">
        <w:rPr>
          <w:rFonts w:cs="Times New Roman"/>
          <w:szCs w:val="24"/>
        </w:rPr>
        <w:t xml:space="preserve">be </w:t>
      </w:r>
      <w:r w:rsidR="000006DD" w:rsidRPr="00305E69">
        <w:rPr>
          <w:rFonts w:cs="Times New Roman"/>
          <w:szCs w:val="24"/>
        </w:rPr>
        <w:t>reviewed by the full IBC</w:t>
      </w:r>
      <w:r w:rsidR="00DB2EFA" w:rsidRPr="00305E69">
        <w:rPr>
          <w:rFonts w:cs="Times New Roman"/>
          <w:szCs w:val="24"/>
        </w:rPr>
        <w:t xml:space="preserve">.  </w:t>
      </w:r>
    </w:p>
    <w:p w14:paraId="5A73DDC3" w14:textId="77777777" w:rsidR="00060772" w:rsidRPr="00305E69" w:rsidRDefault="00060772" w:rsidP="000577F6">
      <w:pPr>
        <w:pStyle w:val="ListParagraph"/>
        <w:numPr>
          <w:ilvl w:val="1"/>
          <w:numId w:val="21"/>
        </w:numPr>
        <w:spacing w:after="0"/>
        <w:textAlignment w:val="baseline"/>
        <w:rPr>
          <w:rFonts w:cs="Times New Roman"/>
          <w:b/>
          <w:szCs w:val="24"/>
        </w:rPr>
      </w:pPr>
      <w:r w:rsidRPr="00305E69">
        <w:rPr>
          <w:rFonts w:cs="Times New Roman"/>
          <w:szCs w:val="24"/>
        </w:rPr>
        <w:t xml:space="preserve">Non-exempt projects, as defined by the </w:t>
      </w:r>
      <w:r w:rsidRPr="00305E69">
        <w:rPr>
          <w:rFonts w:cs="Times New Roman"/>
          <w:i/>
          <w:szCs w:val="24"/>
        </w:rPr>
        <w:t xml:space="preserve">NIH Guidelines </w:t>
      </w:r>
      <w:r w:rsidRPr="00305E69">
        <w:rPr>
          <w:rFonts w:cs="Times New Roman"/>
          <w:szCs w:val="24"/>
        </w:rPr>
        <w:t>Section III-E, shall be designated for review by the IBC Chair, Biological Safety Officer, or a member of the IBC as determined by the IBC Chair</w:t>
      </w:r>
      <w:r w:rsidR="003A38E6" w:rsidRPr="00305E69">
        <w:rPr>
          <w:rFonts w:cs="Times New Roman"/>
          <w:szCs w:val="24"/>
        </w:rPr>
        <w:t>.  The</w:t>
      </w:r>
      <w:r w:rsidRPr="00305E69">
        <w:rPr>
          <w:rFonts w:cs="Times New Roman"/>
          <w:szCs w:val="24"/>
        </w:rPr>
        <w:t xml:space="preserve"> designated review</w:t>
      </w:r>
      <w:r w:rsidR="000006DD" w:rsidRPr="00305E69">
        <w:rPr>
          <w:rFonts w:cs="Times New Roman"/>
          <w:szCs w:val="24"/>
        </w:rPr>
        <w:t>er may make a determination to allow the initiation of the project</w:t>
      </w:r>
      <w:r w:rsidRPr="00305E69">
        <w:rPr>
          <w:rFonts w:cs="Times New Roman"/>
          <w:szCs w:val="24"/>
        </w:rPr>
        <w:t xml:space="preserve">. </w:t>
      </w:r>
      <w:r w:rsidR="000006DD" w:rsidRPr="00305E69">
        <w:rPr>
          <w:rFonts w:cs="Times New Roman"/>
          <w:szCs w:val="24"/>
        </w:rPr>
        <w:t xml:space="preserve">The IBC </w:t>
      </w:r>
      <w:r w:rsidR="003A38E6" w:rsidRPr="00305E69">
        <w:rPr>
          <w:rFonts w:cs="Times New Roman"/>
          <w:szCs w:val="24"/>
        </w:rPr>
        <w:t xml:space="preserve">will </w:t>
      </w:r>
      <w:r w:rsidR="000006DD" w:rsidRPr="00305E69">
        <w:rPr>
          <w:rFonts w:cs="Times New Roman"/>
          <w:szCs w:val="24"/>
        </w:rPr>
        <w:t xml:space="preserve">be notified of these projects at the next properly convened IBC meeting, and the IBC will </w:t>
      </w:r>
      <w:r w:rsidR="00565A46" w:rsidRPr="00305E69">
        <w:rPr>
          <w:rFonts w:cs="Times New Roman"/>
          <w:szCs w:val="24"/>
        </w:rPr>
        <w:t xml:space="preserve">make a determination if the </w:t>
      </w:r>
      <w:r w:rsidR="000006DD" w:rsidRPr="00305E69">
        <w:rPr>
          <w:rFonts w:cs="Times New Roman"/>
          <w:szCs w:val="24"/>
        </w:rPr>
        <w:t>project is approved, approve</w:t>
      </w:r>
      <w:r w:rsidR="00105DC4" w:rsidRPr="00305E69">
        <w:rPr>
          <w:rFonts w:cs="Times New Roman"/>
          <w:szCs w:val="24"/>
        </w:rPr>
        <w:t>d</w:t>
      </w:r>
      <w:r w:rsidR="000006DD" w:rsidRPr="00305E69">
        <w:rPr>
          <w:rFonts w:cs="Times New Roman"/>
          <w:szCs w:val="24"/>
        </w:rPr>
        <w:t xml:space="preserve"> with contingencies, or </w:t>
      </w:r>
      <w:r w:rsidR="00105DC4" w:rsidRPr="00305E69">
        <w:rPr>
          <w:rFonts w:cs="Times New Roman"/>
          <w:szCs w:val="24"/>
        </w:rPr>
        <w:t>tabled pending further IBC review</w:t>
      </w:r>
      <w:r w:rsidRPr="00305E69">
        <w:rPr>
          <w:rFonts w:cs="Times New Roman"/>
          <w:szCs w:val="24"/>
        </w:rPr>
        <w:t>.</w:t>
      </w:r>
      <w:r w:rsidR="00211D65" w:rsidRPr="00305E69">
        <w:rPr>
          <w:rFonts w:cs="Times New Roman"/>
          <w:szCs w:val="24"/>
        </w:rPr>
        <w:t xml:space="preserve"> </w:t>
      </w:r>
    </w:p>
    <w:p w14:paraId="2A0F5EC1" w14:textId="77777777" w:rsidR="00383EC4" w:rsidRPr="00305E69" w:rsidRDefault="000006DD" w:rsidP="000577F6">
      <w:pPr>
        <w:pStyle w:val="ListParagraph"/>
        <w:numPr>
          <w:ilvl w:val="1"/>
          <w:numId w:val="21"/>
        </w:numPr>
        <w:spacing w:after="0"/>
        <w:textAlignment w:val="baseline"/>
        <w:rPr>
          <w:rFonts w:cs="Times New Roman"/>
          <w:b/>
          <w:szCs w:val="24"/>
        </w:rPr>
      </w:pPr>
      <w:r w:rsidRPr="00305E69">
        <w:rPr>
          <w:rFonts w:cs="Times New Roman"/>
          <w:szCs w:val="24"/>
        </w:rPr>
        <w:t>Non-exempt p</w:t>
      </w:r>
      <w:r w:rsidR="00383EC4" w:rsidRPr="00305E69">
        <w:rPr>
          <w:rFonts w:cs="Times New Roman"/>
          <w:szCs w:val="24"/>
        </w:rPr>
        <w:t>rojects</w:t>
      </w:r>
      <w:r w:rsidRPr="00305E69">
        <w:rPr>
          <w:rFonts w:cs="Times New Roman"/>
          <w:szCs w:val="24"/>
        </w:rPr>
        <w:t xml:space="preserve">, as defined by the </w:t>
      </w:r>
      <w:r w:rsidRPr="00305E69">
        <w:rPr>
          <w:rFonts w:cs="Times New Roman"/>
          <w:i/>
          <w:szCs w:val="24"/>
        </w:rPr>
        <w:t xml:space="preserve">NIH Guidelines </w:t>
      </w:r>
      <w:r w:rsidRPr="00305E69">
        <w:rPr>
          <w:rFonts w:cs="Times New Roman"/>
          <w:szCs w:val="24"/>
        </w:rPr>
        <w:t>Sections III-A through III-D,</w:t>
      </w:r>
      <w:r w:rsidR="00383EC4" w:rsidRPr="00305E69">
        <w:rPr>
          <w:rFonts w:cs="Times New Roman"/>
          <w:szCs w:val="24"/>
        </w:rPr>
        <w:t xml:space="preserve"> </w:t>
      </w:r>
      <w:r w:rsidRPr="00305E69">
        <w:rPr>
          <w:rFonts w:cs="Times New Roman"/>
          <w:szCs w:val="24"/>
        </w:rPr>
        <w:t>shall be reviewed by the full IBC at a properly convened IBC meeting</w:t>
      </w:r>
      <w:r w:rsidR="001A0857" w:rsidRPr="00305E69">
        <w:rPr>
          <w:rFonts w:cs="Times New Roman"/>
          <w:szCs w:val="24"/>
        </w:rPr>
        <w:t>.</w:t>
      </w:r>
      <w:r w:rsidR="00105DC4" w:rsidRPr="00305E69">
        <w:rPr>
          <w:rFonts w:cs="Times New Roman"/>
          <w:szCs w:val="24"/>
        </w:rPr>
        <w:t xml:space="preserve"> The IBC Chair will assign a primary, secondary, or any other appropriate reviewer to review the project and present the project to the IBC. The IBC will determine if the project is approved, approved with contingencies, or tabled pending further IBC review.</w:t>
      </w:r>
      <w:r w:rsidR="00A60874" w:rsidRPr="00305E69">
        <w:rPr>
          <w:rFonts w:cs="Times New Roman"/>
          <w:szCs w:val="24"/>
        </w:rPr>
        <w:t xml:space="preserve"> </w:t>
      </w:r>
    </w:p>
    <w:p w14:paraId="2AB2CE95" w14:textId="77777777" w:rsidR="00383EC4" w:rsidRPr="00305E69" w:rsidRDefault="0031567D" w:rsidP="000577F6">
      <w:pPr>
        <w:pStyle w:val="ListParagraph"/>
        <w:numPr>
          <w:ilvl w:val="1"/>
          <w:numId w:val="21"/>
        </w:numPr>
        <w:spacing w:after="0"/>
        <w:textAlignment w:val="baseline"/>
        <w:rPr>
          <w:rFonts w:cs="Times New Roman"/>
          <w:b/>
          <w:szCs w:val="24"/>
        </w:rPr>
      </w:pPr>
      <w:r w:rsidRPr="00305E69">
        <w:rPr>
          <w:rFonts w:cs="Times New Roman"/>
          <w:szCs w:val="24"/>
        </w:rPr>
        <w:t xml:space="preserve">NIH </w:t>
      </w:r>
      <w:r w:rsidR="00A41DF8" w:rsidRPr="00305E69">
        <w:rPr>
          <w:rFonts w:cs="Times New Roman"/>
          <w:szCs w:val="24"/>
        </w:rPr>
        <w:t xml:space="preserve">Office of Science Policy </w:t>
      </w:r>
      <w:r w:rsidRPr="00305E69">
        <w:rPr>
          <w:rFonts w:cs="Times New Roman"/>
          <w:szCs w:val="24"/>
        </w:rPr>
        <w:t>can help with determinations of exempt vs. non-exempt if the IBC is uncertain.</w:t>
      </w:r>
    </w:p>
    <w:p w14:paraId="28ABF403" w14:textId="77777777" w:rsidR="00A41DF8" w:rsidRPr="00305E69" w:rsidRDefault="00105DC4" w:rsidP="00A41DF8">
      <w:pPr>
        <w:pStyle w:val="ListParagraph"/>
        <w:numPr>
          <w:ilvl w:val="1"/>
          <w:numId w:val="21"/>
        </w:numPr>
        <w:spacing w:after="0"/>
        <w:textAlignment w:val="baseline"/>
        <w:rPr>
          <w:rFonts w:cs="Times New Roman"/>
          <w:b/>
          <w:szCs w:val="24"/>
        </w:rPr>
      </w:pPr>
      <w:r w:rsidRPr="00305E69">
        <w:rPr>
          <w:rFonts w:cs="Times New Roman"/>
          <w:szCs w:val="24"/>
        </w:rPr>
        <w:t>IBC meetings will be scheduled ad hoc</w:t>
      </w:r>
      <w:r w:rsidR="00A41DF8" w:rsidRPr="00305E69">
        <w:rPr>
          <w:rFonts w:cs="Times New Roman"/>
          <w:szCs w:val="24"/>
        </w:rPr>
        <w:t>.</w:t>
      </w:r>
      <w:r w:rsidR="00884F89" w:rsidRPr="00305E69">
        <w:rPr>
          <w:rFonts w:cs="Times New Roman"/>
          <w:szCs w:val="24"/>
        </w:rPr>
        <w:t xml:space="preserve"> </w:t>
      </w:r>
      <w:r w:rsidR="00A41DF8" w:rsidRPr="00305E69">
        <w:rPr>
          <w:rFonts w:cs="Times New Roman"/>
          <w:szCs w:val="24"/>
        </w:rPr>
        <w:t>IBC Protocol applications will be stored in a shared folder accessible to IBC Members.</w:t>
      </w:r>
    </w:p>
    <w:p w14:paraId="67BCCE4F" w14:textId="77777777" w:rsidR="00937A9A" w:rsidRPr="00305E69" w:rsidRDefault="00937A9A" w:rsidP="00937A9A">
      <w:pPr>
        <w:pStyle w:val="ListParagraph"/>
        <w:numPr>
          <w:ilvl w:val="1"/>
          <w:numId w:val="21"/>
        </w:numPr>
        <w:spacing w:after="0"/>
        <w:textAlignment w:val="baseline"/>
        <w:rPr>
          <w:rFonts w:cs="Times New Roman"/>
          <w:szCs w:val="24"/>
        </w:rPr>
      </w:pPr>
      <w:r w:rsidRPr="00305E69">
        <w:rPr>
          <w:rFonts w:cs="Times New Roman"/>
          <w:szCs w:val="24"/>
        </w:rPr>
        <w:t>The PI will be notified in writing of the determination made by the IBC.</w:t>
      </w:r>
    </w:p>
    <w:p w14:paraId="5143A7E1" w14:textId="77777777" w:rsidR="00595939" w:rsidRPr="00305E69" w:rsidRDefault="000A78DF" w:rsidP="00D6774D">
      <w:pPr>
        <w:pStyle w:val="ListParagraph"/>
        <w:numPr>
          <w:ilvl w:val="0"/>
          <w:numId w:val="21"/>
        </w:numPr>
        <w:spacing w:after="0" w:line="390" w:lineRule="atLeast"/>
        <w:ind w:left="634"/>
        <w:textAlignment w:val="baseline"/>
        <w:rPr>
          <w:rFonts w:cs="Times New Roman"/>
          <w:b/>
          <w:szCs w:val="24"/>
        </w:rPr>
      </w:pPr>
      <w:r w:rsidRPr="00305E69">
        <w:rPr>
          <w:rFonts w:cs="Times New Roman"/>
          <w:b/>
          <w:szCs w:val="24"/>
        </w:rPr>
        <w:lastRenderedPageBreak/>
        <w:t xml:space="preserve">Applications </w:t>
      </w:r>
      <w:r w:rsidR="002C0B79" w:rsidRPr="00305E69">
        <w:rPr>
          <w:rFonts w:cs="Times New Roman"/>
          <w:b/>
          <w:szCs w:val="24"/>
        </w:rPr>
        <w:t>involving research or teaching activities involving</w:t>
      </w:r>
      <w:r w:rsidRPr="00305E69">
        <w:rPr>
          <w:rFonts w:cs="Times New Roman"/>
          <w:b/>
          <w:szCs w:val="24"/>
        </w:rPr>
        <w:t xml:space="preserve"> </w:t>
      </w:r>
      <w:r w:rsidRPr="00305E69">
        <w:rPr>
          <w:rFonts w:cs="Times New Roman"/>
          <w:b/>
          <w:szCs w:val="24"/>
          <w:u w:val="single"/>
        </w:rPr>
        <w:t>non-</w:t>
      </w:r>
      <w:r w:rsidR="004A0917" w:rsidRPr="00305E69">
        <w:rPr>
          <w:rFonts w:eastAsia="Times New Roman" w:cs="Times New Roman"/>
          <w:b/>
          <w:szCs w:val="24"/>
          <w:u w:val="single"/>
        </w:rPr>
        <w:t xml:space="preserve">recombinant work </w:t>
      </w:r>
      <w:r w:rsidR="002C0B79" w:rsidRPr="00305E69">
        <w:rPr>
          <w:rFonts w:eastAsia="Times New Roman" w:cs="Times New Roman"/>
          <w:b/>
          <w:szCs w:val="24"/>
          <w:u w:val="single"/>
        </w:rPr>
        <w:t xml:space="preserve">with </w:t>
      </w:r>
      <w:r w:rsidR="004A0917" w:rsidRPr="00305E69">
        <w:rPr>
          <w:rFonts w:eastAsia="Times New Roman" w:cs="Times New Roman"/>
          <w:b/>
          <w:szCs w:val="24"/>
          <w:u w:val="single"/>
        </w:rPr>
        <w:t>biological materials</w:t>
      </w:r>
      <w:r w:rsidR="004A0917" w:rsidRPr="00305E69">
        <w:rPr>
          <w:rFonts w:eastAsia="Times New Roman" w:cs="Times New Roman"/>
          <w:b/>
          <w:szCs w:val="24"/>
        </w:rPr>
        <w:t xml:space="preserve"> reviewed by IBC</w:t>
      </w:r>
      <w:r w:rsidR="00595939" w:rsidRPr="00305E69">
        <w:rPr>
          <w:rFonts w:eastAsia="Times New Roman" w:cs="Times New Roman"/>
          <w:b/>
          <w:szCs w:val="24"/>
        </w:rPr>
        <w:t>:</w:t>
      </w:r>
    </w:p>
    <w:p w14:paraId="2B8C5442" w14:textId="77777777" w:rsidR="00527671" w:rsidRPr="00305E69" w:rsidRDefault="00595939" w:rsidP="000577F6">
      <w:pPr>
        <w:pStyle w:val="ListParagraph"/>
        <w:numPr>
          <w:ilvl w:val="1"/>
          <w:numId w:val="21"/>
        </w:numPr>
        <w:spacing w:after="0" w:line="240" w:lineRule="auto"/>
        <w:textAlignment w:val="baseline"/>
        <w:rPr>
          <w:rFonts w:eastAsia="Times New Roman" w:cs="Times New Roman"/>
          <w:szCs w:val="24"/>
        </w:rPr>
      </w:pPr>
      <w:r w:rsidRPr="00305E69">
        <w:rPr>
          <w:rFonts w:eastAsia="Times New Roman" w:cs="Times New Roman"/>
          <w:szCs w:val="24"/>
        </w:rPr>
        <w:t>I</w:t>
      </w:r>
      <w:r w:rsidR="00E13E6F" w:rsidRPr="00305E69">
        <w:rPr>
          <w:rFonts w:eastAsia="Times New Roman" w:cs="Times New Roman"/>
          <w:szCs w:val="24"/>
        </w:rPr>
        <w:t>BC oversight of biological materials extends beyond experiments involving recombinant and synthetic nucleic acids</w:t>
      </w:r>
      <w:r w:rsidR="008D701C" w:rsidRPr="00305E69">
        <w:rPr>
          <w:rFonts w:eastAsia="Times New Roman" w:cs="Times New Roman"/>
          <w:szCs w:val="24"/>
        </w:rPr>
        <w:t xml:space="preserve"> (see list in Section A.1.)</w:t>
      </w:r>
      <w:r w:rsidR="00947BF9" w:rsidRPr="00305E69">
        <w:rPr>
          <w:rFonts w:eastAsia="Times New Roman" w:cs="Times New Roman"/>
          <w:szCs w:val="24"/>
        </w:rPr>
        <w:t xml:space="preserve">.  </w:t>
      </w:r>
      <w:r w:rsidR="00527671" w:rsidRPr="00305E69">
        <w:rPr>
          <w:rFonts w:eastAsia="Times New Roman" w:cs="Times New Roman"/>
          <w:szCs w:val="24"/>
        </w:rPr>
        <w:t>The IBC will review the following non-recombinant work:</w:t>
      </w:r>
    </w:p>
    <w:p w14:paraId="41892292" w14:textId="77777777" w:rsidR="00527671" w:rsidRPr="00305E69" w:rsidRDefault="00B27B1E" w:rsidP="00B27B1E">
      <w:pPr>
        <w:spacing w:after="0" w:line="240" w:lineRule="auto"/>
        <w:textAlignment w:val="baseline"/>
        <w:rPr>
          <w:rFonts w:eastAsia="Times New Roman" w:cs="Times New Roman"/>
          <w:szCs w:val="24"/>
        </w:rPr>
      </w:pPr>
      <w:r>
        <w:rPr>
          <w:rFonts w:eastAsia="Times New Roman" w:cs="Times New Roman"/>
          <w:szCs w:val="24"/>
        </w:rPr>
        <w:t xml:space="preserve">                              </w:t>
      </w:r>
      <w:r w:rsidR="00FC1994">
        <w:rPr>
          <w:rFonts w:eastAsia="Times New Roman" w:cs="Times New Roman"/>
          <w:szCs w:val="24"/>
        </w:rPr>
        <w:t xml:space="preserve">i. </w:t>
      </w:r>
      <w:r w:rsidR="00B27B2D" w:rsidRPr="00305E69">
        <w:rPr>
          <w:rFonts w:eastAsia="Times New Roman" w:cs="Times New Roman"/>
          <w:szCs w:val="24"/>
        </w:rPr>
        <w:t xml:space="preserve"> </w:t>
      </w:r>
      <w:r w:rsidR="00527671" w:rsidRPr="00305E69">
        <w:rPr>
          <w:rFonts w:eastAsia="Times New Roman" w:cs="Times New Roman"/>
          <w:szCs w:val="24"/>
        </w:rPr>
        <w:t xml:space="preserve">Projects involving </w:t>
      </w:r>
      <w:r w:rsidR="00607A8E" w:rsidRPr="00305E69">
        <w:rPr>
          <w:rFonts w:eastAsia="Times New Roman" w:cs="Times New Roman"/>
          <w:szCs w:val="24"/>
        </w:rPr>
        <w:t xml:space="preserve">non-recombinant </w:t>
      </w:r>
      <w:hyperlink r:id="rId20" w:history="1">
        <w:r w:rsidR="00527671" w:rsidRPr="00305E69">
          <w:rPr>
            <w:rStyle w:val="Hyperlink"/>
            <w:rFonts w:eastAsia="Times New Roman" w:cs="Times New Roman"/>
            <w:color w:val="auto"/>
            <w:szCs w:val="24"/>
          </w:rPr>
          <w:t>Risk Group 2</w:t>
        </w:r>
      </w:hyperlink>
      <w:r w:rsidR="00527671" w:rsidRPr="00305E69">
        <w:rPr>
          <w:rFonts w:eastAsia="Times New Roman" w:cs="Times New Roman"/>
          <w:szCs w:val="24"/>
        </w:rPr>
        <w:t xml:space="preserve"> or greater organisms</w:t>
      </w:r>
    </w:p>
    <w:p w14:paraId="45001687" w14:textId="77777777" w:rsidR="00527671" w:rsidRPr="00305E69" w:rsidRDefault="00B27B1E" w:rsidP="00B27B1E">
      <w:pPr>
        <w:spacing w:after="0" w:line="240" w:lineRule="auto"/>
        <w:textAlignment w:val="baseline"/>
        <w:rPr>
          <w:rFonts w:eastAsia="Times New Roman" w:cs="Times New Roman"/>
          <w:szCs w:val="24"/>
        </w:rPr>
      </w:pPr>
      <w:r>
        <w:rPr>
          <w:rFonts w:eastAsia="Times New Roman" w:cs="Times New Roman"/>
          <w:szCs w:val="24"/>
        </w:rPr>
        <w:t xml:space="preserve">                              </w:t>
      </w:r>
      <w:r w:rsidR="00FC1994">
        <w:rPr>
          <w:rFonts w:eastAsia="Times New Roman" w:cs="Times New Roman"/>
          <w:szCs w:val="24"/>
        </w:rPr>
        <w:t xml:space="preserve">ii. </w:t>
      </w:r>
      <w:r w:rsidR="00B27B2D" w:rsidRPr="00305E69">
        <w:rPr>
          <w:rFonts w:eastAsia="Times New Roman" w:cs="Times New Roman"/>
          <w:szCs w:val="24"/>
        </w:rPr>
        <w:t xml:space="preserve">  </w:t>
      </w:r>
      <w:r w:rsidR="00527671" w:rsidRPr="00305E69">
        <w:rPr>
          <w:rFonts w:eastAsia="Times New Roman" w:cs="Times New Roman"/>
          <w:szCs w:val="24"/>
        </w:rPr>
        <w:t xml:space="preserve">Projects with </w:t>
      </w:r>
      <w:r w:rsidR="00A73AC8" w:rsidRPr="00305E69">
        <w:rPr>
          <w:rFonts w:eastAsia="Times New Roman" w:cs="Times New Roman"/>
          <w:szCs w:val="24"/>
        </w:rPr>
        <w:t>toxins</w:t>
      </w:r>
    </w:p>
    <w:p w14:paraId="2F6D0A91" w14:textId="77777777" w:rsidR="008D701C" w:rsidRPr="00305E69" w:rsidRDefault="00947BF9" w:rsidP="000577F6">
      <w:pPr>
        <w:pStyle w:val="ListParagraph"/>
        <w:numPr>
          <w:ilvl w:val="1"/>
          <w:numId w:val="21"/>
        </w:numPr>
        <w:spacing w:after="0" w:line="240" w:lineRule="auto"/>
        <w:textAlignment w:val="baseline"/>
        <w:rPr>
          <w:rFonts w:eastAsia="Times New Roman" w:cs="Times New Roman"/>
          <w:szCs w:val="24"/>
        </w:rPr>
      </w:pPr>
      <w:r w:rsidRPr="00305E69">
        <w:rPr>
          <w:rFonts w:eastAsia="Times New Roman" w:cs="Times New Roman"/>
          <w:szCs w:val="24"/>
        </w:rPr>
        <w:t>This work will be reviewed using a Designated Member method.</w:t>
      </w:r>
      <w:r w:rsidR="00254F1E" w:rsidRPr="00305E69">
        <w:rPr>
          <w:rFonts w:eastAsia="Times New Roman" w:cs="Times New Roman"/>
          <w:szCs w:val="24"/>
        </w:rPr>
        <w:t xml:space="preserve"> </w:t>
      </w:r>
    </w:p>
    <w:p w14:paraId="053B2822" w14:textId="77777777" w:rsidR="00E13E6F" w:rsidRPr="00305E69" w:rsidRDefault="00E13E6F" w:rsidP="000577F6">
      <w:pPr>
        <w:pStyle w:val="ListParagraph"/>
        <w:numPr>
          <w:ilvl w:val="1"/>
          <w:numId w:val="21"/>
        </w:numPr>
        <w:spacing w:after="0" w:line="240" w:lineRule="auto"/>
        <w:textAlignment w:val="baseline"/>
        <w:rPr>
          <w:rFonts w:eastAsia="Times New Roman" w:cs="Times New Roman"/>
          <w:szCs w:val="24"/>
        </w:rPr>
      </w:pPr>
      <w:r w:rsidRPr="00305E69">
        <w:rPr>
          <w:rFonts w:eastAsia="Times New Roman" w:cs="Times New Roman"/>
          <w:szCs w:val="24"/>
        </w:rPr>
        <w:t> </w:t>
      </w:r>
      <w:r w:rsidR="00CD2179" w:rsidRPr="00305E69">
        <w:rPr>
          <w:rFonts w:eastAsia="Times New Roman" w:cs="Times New Roman"/>
          <w:szCs w:val="24"/>
        </w:rPr>
        <w:t>The IBC Chair, BSO</w:t>
      </w:r>
      <w:r w:rsidR="00456294" w:rsidRPr="00305E69">
        <w:rPr>
          <w:rFonts w:eastAsia="Times New Roman" w:cs="Times New Roman"/>
          <w:szCs w:val="24"/>
        </w:rPr>
        <w:t xml:space="preserve">, </w:t>
      </w:r>
      <w:r w:rsidR="009C73EB" w:rsidRPr="00305E69">
        <w:rPr>
          <w:rFonts w:eastAsia="Times New Roman" w:cs="Times New Roman"/>
          <w:szCs w:val="24"/>
        </w:rPr>
        <w:t>and/</w:t>
      </w:r>
      <w:r w:rsidR="00456294" w:rsidRPr="00305E69">
        <w:rPr>
          <w:rFonts w:eastAsia="Times New Roman" w:cs="Times New Roman"/>
          <w:szCs w:val="24"/>
        </w:rPr>
        <w:t xml:space="preserve">or a member of the IBC designated by the </w:t>
      </w:r>
      <w:r w:rsidR="00A163A4" w:rsidRPr="00305E69">
        <w:rPr>
          <w:rFonts w:eastAsia="Times New Roman" w:cs="Times New Roman"/>
          <w:szCs w:val="24"/>
        </w:rPr>
        <w:t xml:space="preserve">chair will </w:t>
      </w:r>
      <w:r w:rsidR="008423ED" w:rsidRPr="00305E69">
        <w:rPr>
          <w:rFonts w:eastAsia="Times New Roman" w:cs="Times New Roman"/>
          <w:szCs w:val="24"/>
        </w:rPr>
        <w:t xml:space="preserve">conduct a </w:t>
      </w:r>
      <w:r w:rsidR="00A163A4" w:rsidRPr="00305E69">
        <w:rPr>
          <w:rFonts w:eastAsia="Times New Roman" w:cs="Times New Roman"/>
          <w:szCs w:val="24"/>
        </w:rPr>
        <w:t xml:space="preserve">review </w:t>
      </w:r>
      <w:r w:rsidR="008423ED" w:rsidRPr="00305E69">
        <w:rPr>
          <w:rFonts w:eastAsia="Times New Roman" w:cs="Times New Roman"/>
          <w:szCs w:val="24"/>
        </w:rPr>
        <w:t xml:space="preserve">of </w:t>
      </w:r>
      <w:r w:rsidR="00A163A4" w:rsidRPr="00305E69">
        <w:rPr>
          <w:rFonts w:eastAsia="Times New Roman" w:cs="Times New Roman"/>
          <w:szCs w:val="24"/>
        </w:rPr>
        <w:t xml:space="preserve">the </w:t>
      </w:r>
      <w:r w:rsidR="00C56E7F" w:rsidRPr="00305E69">
        <w:rPr>
          <w:rFonts w:eastAsia="Times New Roman" w:cs="Times New Roman"/>
          <w:szCs w:val="24"/>
        </w:rPr>
        <w:t>IBC A</w:t>
      </w:r>
      <w:r w:rsidR="00A163A4" w:rsidRPr="00305E69">
        <w:rPr>
          <w:rFonts w:eastAsia="Times New Roman" w:cs="Times New Roman"/>
          <w:szCs w:val="24"/>
        </w:rPr>
        <w:t>pplication</w:t>
      </w:r>
      <w:r w:rsidR="008423ED" w:rsidRPr="00305E69">
        <w:rPr>
          <w:rFonts w:eastAsia="Times New Roman" w:cs="Times New Roman"/>
          <w:szCs w:val="24"/>
        </w:rPr>
        <w:t xml:space="preserve"> materials</w:t>
      </w:r>
      <w:r w:rsidR="001279EE" w:rsidRPr="00305E69">
        <w:rPr>
          <w:rFonts w:eastAsia="Times New Roman" w:cs="Times New Roman"/>
          <w:szCs w:val="24"/>
        </w:rPr>
        <w:t>.</w:t>
      </w:r>
    </w:p>
    <w:p w14:paraId="497F5075" w14:textId="77777777" w:rsidR="008423ED" w:rsidRPr="00305E69" w:rsidRDefault="00254F1E" w:rsidP="000577F6">
      <w:pPr>
        <w:pStyle w:val="ListParagraph"/>
        <w:numPr>
          <w:ilvl w:val="1"/>
          <w:numId w:val="21"/>
        </w:numPr>
        <w:spacing w:after="0" w:line="240" w:lineRule="auto"/>
        <w:textAlignment w:val="baseline"/>
        <w:rPr>
          <w:rFonts w:eastAsia="Times New Roman" w:cs="Times New Roman"/>
          <w:szCs w:val="24"/>
        </w:rPr>
      </w:pPr>
      <w:r w:rsidRPr="00305E69">
        <w:rPr>
          <w:rFonts w:eastAsia="Times New Roman" w:cs="Times New Roman"/>
          <w:szCs w:val="24"/>
        </w:rPr>
        <w:t>The reviewer</w:t>
      </w:r>
      <w:r w:rsidR="009C73EB" w:rsidRPr="00305E69">
        <w:rPr>
          <w:rFonts w:eastAsia="Times New Roman" w:cs="Times New Roman"/>
          <w:szCs w:val="24"/>
        </w:rPr>
        <w:t>(s)</w:t>
      </w:r>
      <w:r w:rsidRPr="00305E69">
        <w:rPr>
          <w:rFonts w:eastAsia="Times New Roman" w:cs="Times New Roman"/>
          <w:szCs w:val="24"/>
        </w:rPr>
        <w:t xml:space="preserve"> may</w:t>
      </w:r>
      <w:r w:rsidR="008423ED" w:rsidRPr="00305E69">
        <w:rPr>
          <w:rFonts w:eastAsia="Times New Roman" w:cs="Times New Roman"/>
          <w:szCs w:val="24"/>
        </w:rPr>
        <w:t>:</w:t>
      </w:r>
    </w:p>
    <w:p w14:paraId="343E6382" w14:textId="77777777" w:rsidR="008423ED" w:rsidRPr="00FC1994" w:rsidRDefault="00CD2179" w:rsidP="00FC1994">
      <w:pPr>
        <w:pStyle w:val="ListParagraph"/>
        <w:numPr>
          <w:ilvl w:val="4"/>
          <w:numId w:val="21"/>
        </w:numPr>
        <w:spacing w:after="0" w:line="240" w:lineRule="auto"/>
        <w:textAlignment w:val="baseline"/>
        <w:rPr>
          <w:rFonts w:eastAsia="Times New Roman" w:cs="Times New Roman"/>
          <w:szCs w:val="24"/>
        </w:rPr>
      </w:pPr>
      <w:r w:rsidRPr="00FC1994">
        <w:rPr>
          <w:rFonts w:eastAsia="Times New Roman" w:cs="Times New Roman"/>
          <w:szCs w:val="24"/>
        </w:rPr>
        <w:t>approve the protocol</w:t>
      </w:r>
      <w:r w:rsidR="008423ED" w:rsidRPr="00FC1994">
        <w:rPr>
          <w:rFonts w:eastAsia="Times New Roman" w:cs="Times New Roman"/>
          <w:szCs w:val="24"/>
        </w:rPr>
        <w:t xml:space="preserve"> as submitted</w:t>
      </w:r>
    </w:p>
    <w:p w14:paraId="587C453F" w14:textId="77777777" w:rsidR="008423ED" w:rsidRPr="00305E69" w:rsidRDefault="00CD2179" w:rsidP="008423ED">
      <w:pPr>
        <w:pStyle w:val="ListParagraph"/>
        <w:numPr>
          <w:ilvl w:val="4"/>
          <w:numId w:val="21"/>
        </w:numPr>
        <w:spacing w:after="0" w:line="240" w:lineRule="auto"/>
        <w:textAlignment w:val="baseline"/>
        <w:rPr>
          <w:rFonts w:eastAsia="Times New Roman" w:cs="Times New Roman"/>
          <w:szCs w:val="24"/>
        </w:rPr>
      </w:pPr>
      <w:r w:rsidRPr="00305E69">
        <w:rPr>
          <w:rFonts w:eastAsia="Times New Roman" w:cs="Times New Roman"/>
          <w:szCs w:val="24"/>
        </w:rPr>
        <w:t>request modifications to secure approval, or</w:t>
      </w:r>
    </w:p>
    <w:p w14:paraId="3279659E" w14:textId="77777777" w:rsidR="00254F1E" w:rsidRPr="00305E69" w:rsidRDefault="009C73EB" w:rsidP="008423ED">
      <w:pPr>
        <w:pStyle w:val="ListParagraph"/>
        <w:numPr>
          <w:ilvl w:val="4"/>
          <w:numId w:val="21"/>
        </w:numPr>
        <w:spacing w:after="0" w:line="240" w:lineRule="auto"/>
        <w:textAlignment w:val="baseline"/>
        <w:rPr>
          <w:rFonts w:eastAsia="Times New Roman" w:cs="Times New Roman"/>
          <w:szCs w:val="24"/>
        </w:rPr>
      </w:pPr>
      <w:r w:rsidRPr="00305E69">
        <w:rPr>
          <w:rFonts w:eastAsia="Times New Roman" w:cs="Times New Roman"/>
          <w:szCs w:val="24"/>
        </w:rPr>
        <w:t>request full IBC review at a convened meeting.</w:t>
      </w:r>
    </w:p>
    <w:p w14:paraId="763C2F2B" w14:textId="77777777" w:rsidR="00937A9A" w:rsidRPr="00305E69" w:rsidRDefault="00937A9A" w:rsidP="00937A9A">
      <w:pPr>
        <w:pStyle w:val="ListParagraph"/>
        <w:numPr>
          <w:ilvl w:val="1"/>
          <w:numId w:val="21"/>
        </w:numPr>
        <w:spacing w:after="0" w:line="240" w:lineRule="auto"/>
        <w:textAlignment w:val="baseline"/>
        <w:rPr>
          <w:rFonts w:eastAsia="Times New Roman" w:cs="Times New Roman"/>
          <w:szCs w:val="24"/>
        </w:rPr>
      </w:pPr>
      <w:r w:rsidRPr="00305E69">
        <w:rPr>
          <w:rFonts w:eastAsia="Times New Roman" w:cs="Times New Roman"/>
          <w:szCs w:val="24"/>
        </w:rPr>
        <w:t>The PI will be notified in writing of the determination made by the IBC.</w:t>
      </w:r>
    </w:p>
    <w:p w14:paraId="7DEA7D7A" w14:textId="77777777" w:rsidR="006F73F8" w:rsidRPr="00305E69" w:rsidRDefault="00C47B78" w:rsidP="00546134">
      <w:pPr>
        <w:pStyle w:val="ListParagraph"/>
        <w:numPr>
          <w:ilvl w:val="1"/>
          <w:numId w:val="21"/>
        </w:numPr>
        <w:spacing w:after="0" w:line="240" w:lineRule="auto"/>
        <w:textAlignment w:val="baseline"/>
        <w:rPr>
          <w:rFonts w:eastAsia="Times New Roman" w:cs="Times New Roman"/>
          <w:szCs w:val="24"/>
        </w:rPr>
      </w:pPr>
      <w:r w:rsidRPr="00305E69">
        <w:rPr>
          <w:rFonts w:eastAsia="Times New Roman" w:cs="Times New Roman"/>
          <w:szCs w:val="24"/>
        </w:rPr>
        <w:t xml:space="preserve">Protocols </w:t>
      </w:r>
      <w:r w:rsidR="00B323DC" w:rsidRPr="00305E69">
        <w:rPr>
          <w:rFonts w:eastAsia="Times New Roman" w:cs="Times New Roman"/>
          <w:szCs w:val="24"/>
        </w:rPr>
        <w:t xml:space="preserve">involving non-recombinant work are </w:t>
      </w:r>
      <w:r w:rsidRPr="00305E69">
        <w:rPr>
          <w:rFonts w:eastAsia="Times New Roman" w:cs="Times New Roman"/>
          <w:szCs w:val="24"/>
        </w:rPr>
        <w:t xml:space="preserve">approved through the designated member method </w:t>
      </w:r>
      <w:r w:rsidR="00B323DC" w:rsidRPr="00305E69">
        <w:rPr>
          <w:rFonts w:eastAsia="Times New Roman" w:cs="Times New Roman"/>
          <w:szCs w:val="24"/>
        </w:rPr>
        <w:t xml:space="preserve">and </w:t>
      </w:r>
      <w:r w:rsidRPr="00305E69">
        <w:rPr>
          <w:rFonts w:eastAsia="Times New Roman" w:cs="Times New Roman"/>
          <w:szCs w:val="24"/>
        </w:rPr>
        <w:t>are reported to the IBC</w:t>
      </w:r>
      <w:r w:rsidR="007823A0" w:rsidRPr="00305E69">
        <w:rPr>
          <w:rFonts w:eastAsia="Times New Roman" w:cs="Times New Roman"/>
          <w:szCs w:val="24"/>
        </w:rPr>
        <w:t xml:space="preserve"> </w:t>
      </w:r>
      <w:r w:rsidR="004C0029" w:rsidRPr="00305E69">
        <w:rPr>
          <w:rFonts w:eastAsia="Times New Roman" w:cs="Times New Roman"/>
          <w:szCs w:val="24"/>
        </w:rPr>
        <w:t>at the next convened meeting</w:t>
      </w:r>
      <w:r w:rsidR="00C958B5" w:rsidRPr="00305E69">
        <w:rPr>
          <w:rFonts w:eastAsia="Times New Roman" w:cs="Times New Roman"/>
          <w:szCs w:val="24"/>
        </w:rPr>
        <w:t>.  These protocols</w:t>
      </w:r>
      <w:r w:rsidR="004C0029" w:rsidRPr="00305E69">
        <w:rPr>
          <w:rFonts w:eastAsia="Times New Roman" w:cs="Times New Roman"/>
          <w:szCs w:val="24"/>
        </w:rPr>
        <w:t xml:space="preserve"> </w:t>
      </w:r>
      <w:r w:rsidR="00872EAE" w:rsidRPr="00305E69">
        <w:rPr>
          <w:rFonts w:eastAsia="Times New Roman" w:cs="Times New Roman"/>
          <w:szCs w:val="24"/>
        </w:rPr>
        <w:t xml:space="preserve">are accessible to all </w:t>
      </w:r>
      <w:r w:rsidR="004C0029" w:rsidRPr="00305E69">
        <w:rPr>
          <w:rFonts w:eastAsia="Times New Roman" w:cs="Times New Roman"/>
          <w:szCs w:val="24"/>
        </w:rPr>
        <w:t xml:space="preserve">IBC </w:t>
      </w:r>
      <w:r w:rsidR="00B323DC" w:rsidRPr="00305E69">
        <w:rPr>
          <w:rFonts w:eastAsia="Times New Roman" w:cs="Times New Roman"/>
          <w:szCs w:val="24"/>
        </w:rPr>
        <w:t>members in</w:t>
      </w:r>
      <w:r w:rsidR="00872EAE" w:rsidRPr="00305E69">
        <w:rPr>
          <w:rFonts w:eastAsia="Times New Roman" w:cs="Times New Roman"/>
          <w:szCs w:val="24"/>
        </w:rPr>
        <w:t xml:space="preserve"> a shared folder.</w:t>
      </w:r>
      <w:r w:rsidR="00B323DC" w:rsidRPr="00305E69">
        <w:rPr>
          <w:rFonts w:eastAsia="Times New Roman" w:cs="Times New Roman"/>
          <w:szCs w:val="24"/>
        </w:rPr>
        <w:t xml:space="preserve"> </w:t>
      </w:r>
    </w:p>
    <w:p w14:paraId="27DCB113" w14:textId="77777777" w:rsidR="00546134" w:rsidRPr="00546134" w:rsidRDefault="00546134" w:rsidP="007F7B79">
      <w:pPr>
        <w:spacing w:after="0" w:line="240" w:lineRule="auto"/>
        <w:ind w:left="1080"/>
        <w:textAlignment w:val="baseline"/>
        <w:rPr>
          <w:rFonts w:eastAsia="Times New Roman" w:cs="Times New Roman"/>
          <w:color w:val="444444"/>
          <w:szCs w:val="24"/>
        </w:rPr>
      </w:pPr>
    </w:p>
    <w:p w14:paraId="5881F434" w14:textId="77777777" w:rsidR="009A2BF6" w:rsidRPr="00305E69" w:rsidRDefault="00A05EE0" w:rsidP="000577F6">
      <w:pPr>
        <w:pStyle w:val="ListParagraph"/>
        <w:numPr>
          <w:ilvl w:val="0"/>
          <w:numId w:val="21"/>
        </w:numPr>
        <w:spacing w:after="0" w:line="240" w:lineRule="auto"/>
        <w:textAlignment w:val="baseline"/>
        <w:rPr>
          <w:rFonts w:eastAsia="Times New Roman" w:cs="Times New Roman"/>
          <w:b/>
          <w:szCs w:val="24"/>
        </w:rPr>
      </w:pPr>
      <w:r w:rsidRPr="00305E69">
        <w:rPr>
          <w:rFonts w:eastAsia="Times New Roman" w:cs="Times New Roman"/>
          <w:b/>
          <w:szCs w:val="24"/>
        </w:rPr>
        <w:t>IBC Coordination of Review with other Institutional Oversight Committees (</w:t>
      </w:r>
      <w:r w:rsidR="009A2BF6" w:rsidRPr="00305E69">
        <w:rPr>
          <w:rFonts w:eastAsia="Times New Roman" w:cs="Times New Roman"/>
          <w:b/>
          <w:szCs w:val="24"/>
        </w:rPr>
        <w:t>IACUC or IRB)</w:t>
      </w:r>
      <w:r w:rsidR="006F73F8" w:rsidRPr="00305E69">
        <w:rPr>
          <w:rFonts w:eastAsia="Times New Roman" w:cs="Times New Roman"/>
          <w:b/>
          <w:szCs w:val="24"/>
        </w:rPr>
        <w:t>:</w:t>
      </w:r>
    </w:p>
    <w:p w14:paraId="0C82419D" w14:textId="77777777" w:rsidR="00923FD6" w:rsidRPr="00E852E0" w:rsidRDefault="00923FD6" w:rsidP="000577F6">
      <w:pPr>
        <w:pStyle w:val="ListParagraph"/>
        <w:numPr>
          <w:ilvl w:val="1"/>
          <w:numId w:val="21"/>
        </w:numPr>
        <w:spacing w:after="0" w:line="240" w:lineRule="auto"/>
        <w:textAlignment w:val="baseline"/>
        <w:rPr>
          <w:rFonts w:eastAsia="Times New Roman" w:cs="Times New Roman"/>
          <w:szCs w:val="24"/>
        </w:rPr>
      </w:pPr>
      <w:r w:rsidRPr="00E852E0">
        <w:rPr>
          <w:rFonts w:eastAsia="Times New Roman" w:cs="Times New Roman"/>
          <w:szCs w:val="24"/>
        </w:rPr>
        <w:t xml:space="preserve">Order of review is not prescribed in the NIH </w:t>
      </w:r>
      <w:r w:rsidR="00A81FB6" w:rsidRPr="00E852E0">
        <w:rPr>
          <w:rFonts w:eastAsia="Times New Roman" w:cs="Times New Roman"/>
          <w:szCs w:val="24"/>
        </w:rPr>
        <w:t>Guidelines.  UW Oshkosh requests that research or teaching activities that require IBC review and additional institutional oversight (i.e. IACUC or IBC review) submit the application simultaneously.  Approval of the protocol will be contingent on approval</w:t>
      </w:r>
      <w:r w:rsidR="00A60874" w:rsidRPr="00E852E0">
        <w:rPr>
          <w:rFonts w:eastAsia="Times New Roman" w:cs="Times New Roman"/>
          <w:szCs w:val="24"/>
        </w:rPr>
        <w:t xml:space="preserve"> from the additional oversight committee.  </w:t>
      </w:r>
    </w:p>
    <w:p w14:paraId="7C1BEBE3" w14:textId="77777777" w:rsidR="00770AA5" w:rsidRPr="00E852E0" w:rsidRDefault="00770AA5" w:rsidP="00770AA5">
      <w:pPr>
        <w:pStyle w:val="ListParagraph"/>
        <w:spacing w:after="0" w:line="240" w:lineRule="auto"/>
        <w:ind w:left="1440"/>
        <w:textAlignment w:val="baseline"/>
        <w:rPr>
          <w:rFonts w:eastAsia="Times New Roman" w:cs="Times New Roman"/>
          <w:szCs w:val="24"/>
        </w:rPr>
      </w:pPr>
    </w:p>
    <w:p w14:paraId="56356B16" w14:textId="77777777" w:rsidR="00770AA5" w:rsidRPr="00E852E0" w:rsidRDefault="00770AA5" w:rsidP="00770AA5">
      <w:pPr>
        <w:pStyle w:val="ListParagraph"/>
        <w:numPr>
          <w:ilvl w:val="0"/>
          <w:numId w:val="21"/>
        </w:numPr>
        <w:spacing w:after="0" w:line="240" w:lineRule="auto"/>
        <w:textAlignment w:val="baseline"/>
        <w:rPr>
          <w:rFonts w:eastAsia="Times New Roman" w:cs="Times New Roman"/>
          <w:b/>
          <w:szCs w:val="24"/>
        </w:rPr>
      </w:pPr>
      <w:r w:rsidRPr="00E852E0">
        <w:rPr>
          <w:rFonts w:eastAsia="Times New Roman" w:cs="Times New Roman"/>
          <w:b/>
          <w:szCs w:val="24"/>
        </w:rPr>
        <w:t xml:space="preserve">Procedure for </w:t>
      </w:r>
      <w:r w:rsidR="00E852E0" w:rsidRPr="00E852E0">
        <w:rPr>
          <w:rFonts w:eastAsia="Times New Roman" w:cs="Times New Roman"/>
          <w:b/>
          <w:szCs w:val="24"/>
        </w:rPr>
        <w:t>Full Committee Review</w:t>
      </w:r>
      <w:r w:rsidR="00E852E0">
        <w:rPr>
          <w:rFonts w:eastAsia="Times New Roman" w:cs="Times New Roman"/>
          <w:b/>
          <w:szCs w:val="24"/>
        </w:rPr>
        <w:t xml:space="preserve"> </w:t>
      </w:r>
    </w:p>
    <w:p w14:paraId="5A59FC23" w14:textId="77777777" w:rsidR="00770AA5" w:rsidRDefault="00770AA5" w:rsidP="00770AA5">
      <w:pPr>
        <w:pStyle w:val="ListParagraph"/>
        <w:numPr>
          <w:ilvl w:val="0"/>
          <w:numId w:val="7"/>
        </w:numPr>
      </w:pPr>
      <w:r>
        <w:t>IBC Administration confirms a meeting date when a quorum can be present, prepares the meeting agenda and distributes the materials to the IBC one week prior to the meeting.</w:t>
      </w:r>
    </w:p>
    <w:p w14:paraId="492AC00D" w14:textId="77777777" w:rsidR="00770AA5" w:rsidRDefault="00770AA5" w:rsidP="00770AA5">
      <w:pPr>
        <w:pStyle w:val="ListParagraph"/>
        <w:numPr>
          <w:ilvl w:val="0"/>
          <w:numId w:val="7"/>
        </w:numPr>
      </w:pPr>
      <w:r>
        <w:t xml:space="preserve">The PI’s presence may be requested at the convened meeting to explain the proposed research and answer any questions the IBC may have.  However, the PI </w:t>
      </w:r>
      <w:r w:rsidR="00E828B8">
        <w:t xml:space="preserve">must leave the room while the IBC discusses and votes on the </w:t>
      </w:r>
      <w:r w:rsidR="00D84312">
        <w:t>protocol.</w:t>
      </w:r>
    </w:p>
    <w:p w14:paraId="08169DCD" w14:textId="77777777" w:rsidR="00770AA5" w:rsidRDefault="00770AA5" w:rsidP="00FC1994">
      <w:pPr>
        <w:pStyle w:val="ListParagraph"/>
        <w:numPr>
          <w:ilvl w:val="2"/>
          <w:numId w:val="7"/>
        </w:numPr>
      </w:pPr>
      <w:r>
        <w:t xml:space="preserve">Any IBC members who have a conflict of interest with the presented protocol may be present to answer questions posed by the committee but will excuse themselves from the room prior to discussion and formal vote.  </w:t>
      </w:r>
    </w:p>
    <w:p w14:paraId="66B0643D" w14:textId="77777777" w:rsidR="00770AA5" w:rsidRDefault="00770AA5" w:rsidP="00770AA5">
      <w:pPr>
        <w:pStyle w:val="ListParagraph"/>
        <w:numPr>
          <w:ilvl w:val="0"/>
          <w:numId w:val="7"/>
        </w:numPr>
      </w:pPr>
      <w:r>
        <w:t xml:space="preserve">Meetings are typically conducted in person, however, in rare circumstances teleconference or videoconference in live time may be used for a convened meeting.  </w:t>
      </w:r>
    </w:p>
    <w:p w14:paraId="18025CCB" w14:textId="77777777" w:rsidR="00770AA5" w:rsidRDefault="00770AA5" w:rsidP="00770AA5">
      <w:pPr>
        <w:pStyle w:val="ListParagraph"/>
        <w:numPr>
          <w:ilvl w:val="0"/>
          <w:numId w:val="7"/>
        </w:numPr>
      </w:pPr>
      <w:r>
        <w:t>Protocols for Full Committee Review can only be approved at a convened meeting of a quorum of the IBC, with the approval vote of a majority (&gt;50%) of the members present, and with a formal vote.</w:t>
      </w:r>
    </w:p>
    <w:p w14:paraId="2DAE890D" w14:textId="77777777" w:rsidR="00770AA5" w:rsidRPr="00CA1893" w:rsidRDefault="00770AA5" w:rsidP="00DF0C1D">
      <w:pPr>
        <w:pStyle w:val="ListParagraph"/>
        <w:numPr>
          <w:ilvl w:val="2"/>
          <w:numId w:val="7"/>
        </w:numPr>
      </w:pPr>
      <w:r w:rsidRPr="00CA1893">
        <w:lastRenderedPageBreak/>
        <w:t>An established quorum includes a minimum of one non-affiliated member.  If a protocol involving plants is on the agenda</w:t>
      </w:r>
      <w:r w:rsidR="00E92B41">
        <w:t>,</w:t>
      </w:r>
      <w:r w:rsidRPr="00CA1893">
        <w:t xml:space="preserve"> the </w:t>
      </w:r>
      <w:r w:rsidR="00FF6ED3">
        <w:t xml:space="preserve">member with </w:t>
      </w:r>
      <w:r w:rsidRPr="00CA1893">
        <w:t>plant expert</w:t>
      </w:r>
      <w:r w:rsidR="00FF6ED3">
        <w:t>ise</w:t>
      </w:r>
      <w:r w:rsidRPr="00CA1893">
        <w:t xml:space="preserve"> will be present </w:t>
      </w:r>
      <w:r w:rsidR="00423EA6">
        <w:t xml:space="preserve">or submit their review </w:t>
      </w:r>
      <w:r w:rsidR="00E92B41">
        <w:t xml:space="preserve">comments </w:t>
      </w:r>
      <w:r w:rsidR="00423EA6">
        <w:t>in advance</w:t>
      </w:r>
      <w:r w:rsidRPr="00CA1893">
        <w:t>.  If a protocol involving animals is on the agenda</w:t>
      </w:r>
      <w:r w:rsidR="00E92B41">
        <w:t>,</w:t>
      </w:r>
      <w:r w:rsidRPr="00CA1893">
        <w:t xml:space="preserve"> the </w:t>
      </w:r>
      <w:r w:rsidR="00FF6ED3">
        <w:t>member with</w:t>
      </w:r>
      <w:r w:rsidR="00410BAE">
        <w:t xml:space="preserve"> </w:t>
      </w:r>
      <w:r w:rsidRPr="00CA1893">
        <w:t>animal expert</w:t>
      </w:r>
      <w:r w:rsidR="00FF6ED3">
        <w:t>ise</w:t>
      </w:r>
      <w:r w:rsidRPr="00CA1893">
        <w:t xml:space="preserve"> will be present to achieve quorum</w:t>
      </w:r>
      <w:r w:rsidR="00423EA6">
        <w:t xml:space="preserve"> or submit their review </w:t>
      </w:r>
      <w:r w:rsidR="00E92B41">
        <w:t xml:space="preserve">comments </w:t>
      </w:r>
      <w:r w:rsidR="00423EA6">
        <w:t>in advance</w:t>
      </w:r>
      <w:r w:rsidRPr="00CA1893">
        <w:t xml:space="preserve">.  </w:t>
      </w:r>
      <w:r w:rsidR="00BA4DCF">
        <w:t>The biosafety officer will be present or submit any review comments or concerns in advance.</w:t>
      </w:r>
    </w:p>
    <w:p w14:paraId="1BCC7F22" w14:textId="77777777" w:rsidR="00770AA5" w:rsidRPr="004123A2" w:rsidRDefault="00770AA5" w:rsidP="00DF0C1D">
      <w:pPr>
        <w:pStyle w:val="ListParagraph"/>
        <w:numPr>
          <w:ilvl w:val="0"/>
          <w:numId w:val="7"/>
        </w:numPr>
      </w:pPr>
      <w:r w:rsidRPr="004123A2">
        <w:t xml:space="preserve">Minutes of meetings are recorded and will include any dissenting views and resolution through vote.  </w:t>
      </w:r>
      <w:r w:rsidR="00CD31A3">
        <w:t>The minutes are shared with the committee following the meeting.</w:t>
      </w:r>
    </w:p>
    <w:p w14:paraId="0F35F2CD" w14:textId="77777777" w:rsidR="00770AA5" w:rsidRDefault="00770AA5" w:rsidP="00DF0C1D">
      <w:pPr>
        <w:pStyle w:val="ListParagraph"/>
        <w:numPr>
          <w:ilvl w:val="0"/>
          <w:numId w:val="7"/>
        </w:numPr>
      </w:pPr>
      <w:r>
        <w:t>Required Modifications Subsequent to Full Committee Review:  If the IBC requires modifications to secure approval of a protocol</w:t>
      </w:r>
      <w:r w:rsidR="000B2804">
        <w:t xml:space="preserve"> at a convened meeting</w:t>
      </w:r>
      <w:r>
        <w:t>, such modifications are reviewed as follows:</w:t>
      </w:r>
    </w:p>
    <w:p w14:paraId="23B065D6" w14:textId="77777777" w:rsidR="00A41C2A" w:rsidRDefault="00173F56" w:rsidP="00770AA5">
      <w:pPr>
        <w:pStyle w:val="ListParagraph"/>
        <w:numPr>
          <w:ilvl w:val="2"/>
          <w:numId w:val="8"/>
        </w:numPr>
      </w:pPr>
      <w:r>
        <w:t>Changes</w:t>
      </w:r>
      <w:r w:rsidR="00770AA5">
        <w:t xml:space="preserve"> determined </w:t>
      </w:r>
      <w:r>
        <w:t xml:space="preserve">by the </w:t>
      </w:r>
      <w:r w:rsidR="0078677C">
        <w:t xml:space="preserve">convened </w:t>
      </w:r>
      <w:r>
        <w:t xml:space="preserve">IBC </w:t>
      </w:r>
      <w:r w:rsidR="00C244A1">
        <w:t xml:space="preserve">to be significant and impact biosafety </w:t>
      </w:r>
      <w:r>
        <w:t xml:space="preserve">will be sent back </w:t>
      </w:r>
      <w:r w:rsidR="00770AA5">
        <w:t xml:space="preserve">through </w:t>
      </w:r>
      <w:r>
        <w:t xml:space="preserve">Full Committee Review </w:t>
      </w:r>
      <w:r w:rsidR="00770AA5">
        <w:t>following all applicable procedures as delineated above</w:t>
      </w:r>
      <w:r w:rsidR="0078677C">
        <w:t xml:space="preserve"> in section B.5.</w:t>
      </w:r>
      <w:r w:rsidR="00B152B5">
        <w:t xml:space="preserve">  </w:t>
      </w:r>
    </w:p>
    <w:p w14:paraId="413F8188" w14:textId="77777777" w:rsidR="00770AA5" w:rsidRDefault="00A41C2A" w:rsidP="00F123C3">
      <w:pPr>
        <w:pStyle w:val="ListParagraph"/>
        <w:numPr>
          <w:ilvl w:val="3"/>
          <w:numId w:val="8"/>
        </w:numPr>
      </w:pPr>
      <w:r>
        <w:t xml:space="preserve">  </w:t>
      </w:r>
      <w:r w:rsidR="00B152B5">
        <w:t>The approval date is the date the Full Committee approve</w:t>
      </w:r>
      <w:r>
        <w:t>s the changes.</w:t>
      </w:r>
    </w:p>
    <w:p w14:paraId="3C59207D" w14:textId="77777777" w:rsidR="00C24335" w:rsidRDefault="00C24335" w:rsidP="00770AA5">
      <w:pPr>
        <w:pStyle w:val="ListParagraph"/>
        <w:numPr>
          <w:ilvl w:val="2"/>
          <w:numId w:val="8"/>
        </w:numPr>
      </w:pPr>
      <w:r>
        <w:t>Designated Member Review if the IBC agrees at the meeting that the requested changes can be reviewed in this manner.  The IBC Chair, biological safety officer, or an IBC member delegated by the chair</w:t>
      </w:r>
      <w:r w:rsidR="00075C58">
        <w:t xml:space="preserve"> (i.e., (primary reviewer)</w:t>
      </w:r>
      <w:r w:rsidR="0096161C">
        <w:t xml:space="preserve"> </w:t>
      </w:r>
      <w:r>
        <w:t xml:space="preserve">may verify </w:t>
      </w:r>
      <w:r w:rsidR="009247CE">
        <w:t xml:space="preserve">that </w:t>
      </w:r>
      <w:r>
        <w:t>the changes have been made satisfactorily.</w:t>
      </w:r>
    </w:p>
    <w:p w14:paraId="42402C55" w14:textId="77777777" w:rsidR="00763FDB" w:rsidRPr="00CA1893" w:rsidRDefault="00763FDB" w:rsidP="00763FDB">
      <w:pPr>
        <w:pStyle w:val="ListParagraph"/>
        <w:numPr>
          <w:ilvl w:val="3"/>
          <w:numId w:val="8"/>
        </w:numPr>
      </w:pPr>
      <w:r w:rsidRPr="00CA1893">
        <w:t xml:space="preserve">If the IBC uses Designated Member Review subsequent to Full Committee Review, the approval date is the date that the designated </w:t>
      </w:r>
      <w:r w:rsidR="00CA1893" w:rsidRPr="00CA1893">
        <w:t xml:space="preserve">IBC </w:t>
      </w:r>
      <w:r w:rsidRPr="00CA1893">
        <w:t>member(s) were satisfied with the revisions made.</w:t>
      </w:r>
    </w:p>
    <w:p w14:paraId="32F19950" w14:textId="77777777" w:rsidR="00770AA5" w:rsidRPr="00CA1893" w:rsidRDefault="00770AA5" w:rsidP="00770AA5">
      <w:pPr>
        <w:pStyle w:val="ListParagraph"/>
        <w:numPr>
          <w:ilvl w:val="2"/>
          <w:numId w:val="8"/>
        </w:numPr>
      </w:pPr>
      <w:r w:rsidRPr="00CA1893">
        <w:t xml:space="preserve">Administrative Review may be used to verify </w:t>
      </w:r>
      <w:r w:rsidR="00B152B5">
        <w:t xml:space="preserve">minor </w:t>
      </w:r>
      <w:r w:rsidRPr="00CA1893">
        <w:t xml:space="preserve">points of order/clarification requested when determined through vote by the convened IBC to be </w:t>
      </w:r>
      <w:r w:rsidR="00C073E2">
        <w:t>administrative</w:t>
      </w:r>
      <w:r w:rsidR="00C073E2" w:rsidRPr="00CA1893">
        <w:t xml:space="preserve"> </w:t>
      </w:r>
      <w:r w:rsidRPr="00CA1893">
        <w:t>in nature with no impact on biosafety.  This review can be conducted by IBC Administration Staff</w:t>
      </w:r>
      <w:r w:rsidR="00C24335" w:rsidRPr="00CA1893">
        <w:t xml:space="preserve"> or IBC Chair.</w:t>
      </w:r>
    </w:p>
    <w:p w14:paraId="79936322" w14:textId="77777777" w:rsidR="00770AA5" w:rsidRPr="00CA1893" w:rsidRDefault="00770AA5" w:rsidP="00770AA5">
      <w:pPr>
        <w:pStyle w:val="ListParagraph"/>
        <w:numPr>
          <w:ilvl w:val="3"/>
          <w:numId w:val="8"/>
        </w:numPr>
      </w:pPr>
      <w:r w:rsidRPr="00CA1893">
        <w:t xml:space="preserve">Example of minor points of order/clarification: typographical or grammatical errors, funding source information, </w:t>
      </w:r>
      <w:r w:rsidR="004B4543">
        <w:t xml:space="preserve">linking IRB or IACUC protocols, </w:t>
      </w:r>
      <w:r w:rsidRPr="00CA1893">
        <w:t xml:space="preserve">contact information, </w:t>
      </w:r>
      <w:r w:rsidR="006C02EF">
        <w:t xml:space="preserve">addition of personnel and </w:t>
      </w:r>
      <w:r w:rsidRPr="00CA1893">
        <w:t>verification of training, or verification of biosafety cabinet certification, etc.).</w:t>
      </w:r>
    </w:p>
    <w:p w14:paraId="264EFDB9" w14:textId="77777777" w:rsidR="00770AA5" w:rsidRPr="00CA1893" w:rsidRDefault="00770AA5" w:rsidP="00770AA5">
      <w:pPr>
        <w:pStyle w:val="ListParagraph"/>
        <w:numPr>
          <w:ilvl w:val="3"/>
          <w:numId w:val="8"/>
        </w:numPr>
      </w:pPr>
      <w:r w:rsidRPr="00CA1893">
        <w:t>If the IBC uses Administrative Review subsequent to Full Committee Review, the approval date is the date that the full committee approved the study pending the minor points of order/clarification.</w:t>
      </w:r>
    </w:p>
    <w:p w14:paraId="3F686B1D" w14:textId="77777777" w:rsidR="00770AA5" w:rsidRPr="0080349D" w:rsidRDefault="00770AA5" w:rsidP="00770AA5">
      <w:pPr>
        <w:pStyle w:val="ListParagraph"/>
        <w:numPr>
          <w:ilvl w:val="3"/>
          <w:numId w:val="8"/>
        </w:numPr>
      </w:pPr>
      <w:r w:rsidRPr="0080349D">
        <w:t>Any member of the IBC may, at any time, request to see the revised protocol and/or call for Full Committee Review.</w:t>
      </w:r>
    </w:p>
    <w:p w14:paraId="23E20743" w14:textId="77777777" w:rsidR="006F73F8" w:rsidRDefault="006F73F8" w:rsidP="006F73F8">
      <w:pPr>
        <w:spacing w:after="0" w:line="240" w:lineRule="auto"/>
        <w:textAlignment w:val="baseline"/>
        <w:rPr>
          <w:rFonts w:eastAsia="Times New Roman" w:cs="Times New Roman"/>
          <w:color w:val="444444"/>
          <w:szCs w:val="24"/>
        </w:rPr>
      </w:pPr>
    </w:p>
    <w:p w14:paraId="313D5302" w14:textId="77777777" w:rsidR="00E13E6F" w:rsidRPr="000E57B9" w:rsidRDefault="0029537A" w:rsidP="000E57B9">
      <w:pPr>
        <w:pStyle w:val="ListParagraph"/>
        <w:numPr>
          <w:ilvl w:val="3"/>
          <w:numId w:val="21"/>
        </w:numPr>
        <w:spacing w:after="0" w:line="240" w:lineRule="auto"/>
        <w:textAlignment w:val="baseline"/>
        <w:rPr>
          <w:rFonts w:eastAsia="Times New Roman" w:cs="Times New Roman"/>
          <w:b/>
          <w:szCs w:val="24"/>
          <w:u w:val="single"/>
        </w:rPr>
      </w:pPr>
      <w:r w:rsidRPr="000E57B9">
        <w:rPr>
          <w:rFonts w:eastAsia="Times New Roman" w:cs="Times New Roman"/>
          <w:b/>
          <w:szCs w:val="24"/>
          <w:u w:val="single"/>
        </w:rPr>
        <w:t>Mo</w:t>
      </w:r>
      <w:r w:rsidR="0087178D" w:rsidRPr="000E57B9">
        <w:rPr>
          <w:rFonts w:eastAsia="Times New Roman" w:cs="Times New Roman"/>
          <w:b/>
          <w:szCs w:val="24"/>
          <w:u w:val="single"/>
        </w:rPr>
        <w:t>difications to Approved IBC Protocols</w:t>
      </w:r>
    </w:p>
    <w:p w14:paraId="18A63A03" w14:textId="77777777" w:rsidR="007F17BE" w:rsidRPr="00305E69" w:rsidRDefault="00E13E6F" w:rsidP="00DB1977">
      <w:pPr>
        <w:pStyle w:val="ListParagraph"/>
        <w:numPr>
          <w:ilvl w:val="0"/>
          <w:numId w:val="30"/>
        </w:numPr>
        <w:spacing w:after="0" w:line="240" w:lineRule="auto"/>
        <w:textAlignment w:val="baseline"/>
        <w:rPr>
          <w:rFonts w:eastAsia="Times New Roman" w:cs="Times New Roman"/>
          <w:szCs w:val="24"/>
        </w:rPr>
      </w:pPr>
      <w:r w:rsidRPr="00DB1977">
        <w:rPr>
          <w:rFonts w:eastAsia="Times New Roman" w:cs="Times New Roman"/>
          <w:szCs w:val="24"/>
        </w:rPr>
        <w:lastRenderedPageBreak/>
        <w:t xml:space="preserve">If a PI would like </w:t>
      </w:r>
      <w:r w:rsidR="00FE5442" w:rsidRPr="00DB1977">
        <w:rPr>
          <w:rFonts w:eastAsia="Times New Roman" w:cs="Times New Roman"/>
          <w:szCs w:val="24"/>
        </w:rPr>
        <w:t xml:space="preserve">to </w:t>
      </w:r>
      <w:r w:rsidR="00846C68" w:rsidRPr="00DB1977">
        <w:rPr>
          <w:rFonts w:eastAsia="Times New Roman" w:cs="Times New Roman"/>
          <w:szCs w:val="24"/>
        </w:rPr>
        <w:t>amend</w:t>
      </w:r>
      <w:r w:rsidR="00FE5442" w:rsidRPr="00DB1977">
        <w:rPr>
          <w:rFonts w:eastAsia="Times New Roman" w:cs="Times New Roman"/>
          <w:szCs w:val="24"/>
        </w:rPr>
        <w:t xml:space="preserve"> their active protocol, </w:t>
      </w:r>
      <w:r w:rsidRPr="00DB1977">
        <w:rPr>
          <w:rFonts w:eastAsia="Times New Roman" w:cs="Times New Roman"/>
          <w:szCs w:val="24"/>
        </w:rPr>
        <w:t xml:space="preserve">they </w:t>
      </w:r>
      <w:r w:rsidR="00FE5442" w:rsidRPr="00DB1977">
        <w:rPr>
          <w:rFonts w:eastAsia="Times New Roman" w:cs="Times New Roman"/>
          <w:szCs w:val="24"/>
        </w:rPr>
        <w:t>must</w:t>
      </w:r>
      <w:r w:rsidRPr="00DB1977">
        <w:rPr>
          <w:rFonts w:eastAsia="Times New Roman" w:cs="Times New Roman"/>
          <w:szCs w:val="24"/>
        </w:rPr>
        <w:t xml:space="preserve"> submit </w:t>
      </w:r>
      <w:r w:rsidRPr="00DB1977">
        <w:rPr>
          <w:rFonts w:eastAsia="Times New Roman" w:cs="Times New Roman"/>
          <w:color w:val="444444"/>
          <w:szCs w:val="24"/>
        </w:rPr>
        <w:t xml:space="preserve">a </w:t>
      </w:r>
      <w:hyperlink r:id="rId21" w:history="1">
        <w:r w:rsidRPr="00D760C7">
          <w:rPr>
            <w:rStyle w:val="Hyperlink"/>
            <w:rFonts w:eastAsia="Times New Roman" w:cs="Times New Roman"/>
            <w:b/>
            <w:szCs w:val="24"/>
          </w:rPr>
          <w:t>Modification</w:t>
        </w:r>
        <w:r w:rsidR="00FE5442" w:rsidRPr="00D760C7">
          <w:rPr>
            <w:rStyle w:val="Hyperlink"/>
            <w:rFonts w:eastAsia="Times New Roman" w:cs="Times New Roman"/>
            <w:b/>
            <w:szCs w:val="24"/>
          </w:rPr>
          <w:t xml:space="preserve"> Request</w:t>
        </w:r>
        <w:r w:rsidRPr="00D760C7">
          <w:rPr>
            <w:rStyle w:val="Hyperlink"/>
            <w:rFonts w:eastAsia="Times New Roman" w:cs="Times New Roman"/>
            <w:b/>
            <w:szCs w:val="24"/>
          </w:rPr>
          <w:t xml:space="preserve"> Form</w:t>
        </w:r>
      </w:hyperlink>
      <w:r w:rsidRPr="00DB1977">
        <w:rPr>
          <w:rFonts w:eastAsia="Times New Roman" w:cs="Times New Roman"/>
          <w:color w:val="444444"/>
          <w:szCs w:val="24"/>
        </w:rPr>
        <w:t xml:space="preserve"> </w:t>
      </w:r>
      <w:r w:rsidRPr="00DB1977">
        <w:rPr>
          <w:rFonts w:eastAsia="Times New Roman" w:cs="Times New Roman"/>
          <w:szCs w:val="24"/>
        </w:rPr>
        <w:t>along with their revised IBC Application Form</w:t>
      </w:r>
      <w:r w:rsidR="007F17BE">
        <w:rPr>
          <w:rFonts w:eastAsia="Times New Roman" w:cs="Times New Roman"/>
          <w:szCs w:val="24"/>
        </w:rPr>
        <w:t xml:space="preserve"> to </w:t>
      </w:r>
      <w:hyperlink r:id="rId22" w:history="1">
        <w:r w:rsidR="007F17BE" w:rsidRPr="00FF1823">
          <w:rPr>
            <w:rFonts w:eastAsia="Times New Roman" w:cs="Times New Roman"/>
            <w:color w:val="0077AD"/>
            <w:szCs w:val="24"/>
            <w:u w:val="single"/>
            <w:bdr w:val="none" w:sz="0" w:space="0" w:color="auto" w:frame="1"/>
          </w:rPr>
          <w:t>biosafety@uwosh.edu</w:t>
        </w:r>
      </w:hyperlink>
      <w:r w:rsidR="00D760C7">
        <w:rPr>
          <w:rFonts w:eastAsia="Times New Roman" w:cs="Times New Roman"/>
          <w:szCs w:val="24"/>
        </w:rPr>
        <w:t xml:space="preserve">. </w:t>
      </w:r>
      <w:r w:rsidR="007F17BE">
        <w:rPr>
          <w:rFonts w:eastAsia="Times New Roman" w:cs="Times New Roman"/>
          <w:szCs w:val="24"/>
        </w:rPr>
        <w:t xml:space="preserve"> </w:t>
      </w:r>
      <w:r w:rsidR="007F17BE" w:rsidRPr="00624FE0">
        <w:rPr>
          <w:rFonts w:eastAsia="Times New Roman" w:cs="Times New Roman"/>
          <w:szCs w:val="24"/>
        </w:rPr>
        <w:t xml:space="preserve">The IBC </w:t>
      </w:r>
      <w:r w:rsidR="007F17BE" w:rsidRPr="00CC1DE7">
        <w:rPr>
          <w:rFonts w:eastAsia="Times New Roman" w:cs="Times New Roman"/>
          <w:szCs w:val="24"/>
        </w:rPr>
        <w:t xml:space="preserve">Application </w:t>
      </w:r>
      <w:r w:rsidR="007F17BE" w:rsidRPr="00BE1990">
        <w:rPr>
          <w:rFonts w:eastAsia="Times New Roman" w:cs="Times New Roman"/>
          <w:szCs w:val="24"/>
        </w:rPr>
        <w:t>Form amendment box shoul</w:t>
      </w:r>
      <w:r w:rsidR="00DB1977" w:rsidRPr="00305E69">
        <w:rPr>
          <w:rFonts w:eastAsia="Times New Roman" w:cs="Times New Roman"/>
          <w:szCs w:val="24"/>
        </w:rPr>
        <w:t>d be selected on the coversheet.</w:t>
      </w:r>
      <w:r w:rsidR="00F12FF2" w:rsidRPr="00305E69">
        <w:rPr>
          <w:rFonts w:eastAsia="Times New Roman" w:cs="Times New Roman"/>
          <w:szCs w:val="24"/>
        </w:rPr>
        <w:t xml:space="preserve">  </w:t>
      </w:r>
    </w:p>
    <w:p w14:paraId="3C0C471A" w14:textId="77777777" w:rsidR="008A4BA9" w:rsidRPr="00305E69" w:rsidRDefault="008A4BA9" w:rsidP="00565A8E">
      <w:pPr>
        <w:pStyle w:val="ListParagraph"/>
        <w:spacing w:after="0" w:line="240" w:lineRule="auto"/>
        <w:textAlignment w:val="baseline"/>
        <w:rPr>
          <w:rFonts w:eastAsia="Times New Roman" w:cs="Times New Roman"/>
          <w:szCs w:val="24"/>
        </w:rPr>
      </w:pPr>
    </w:p>
    <w:p w14:paraId="3E108B42" w14:textId="77777777" w:rsidR="00EF4A2C" w:rsidRPr="00305E69" w:rsidRDefault="00E13E6F" w:rsidP="00DB1977">
      <w:pPr>
        <w:pStyle w:val="ListParagraph"/>
        <w:numPr>
          <w:ilvl w:val="0"/>
          <w:numId w:val="30"/>
        </w:numPr>
        <w:spacing w:after="0" w:line="240" w:lineRule="auto"/>
        <w:textAlignment w:val="baseline"/>
        <w:rPr>
          <w:rFonts w:eastAsia="Times New Roman" w:cs="Times New Roman"/>
          <w:szCs w:val="24"/>
        </w:rPr>
      </w:pPr>
      <w:r w:rsidRPr="00305E69">
        <w:rPr>
          <w:rFonts w:eastAsia="Times New Roman" w:cs="Times New Roman"/>
          <w:szCs w:val="24"/>
        </w:rPr>
        <w:t> Depending on the type of modification requested, the modification may be reviewed through Administrative Review</w:t>
      </w:r>
      <w:r w:rsidR="00EF4A2C" w:rsidRPr="00305E69">
        <w:rPr>
          <w:rFonts w:eastAsia="Times New Roman" w:cs="Times New Roman"/>
          <w:szCs w:val="24"/>
        </w:rPr>
        <w:t>, Designated Member Review,</w:t>
      </w:r>
      <w:r w:rsidRPr="00305E69">
        <w:rPr>
          <w:rFonts w:eastAsia="Times New Roman" w:cs="Times New Roman"/>
          <w:szCs w:val="24"/>
        </w:rPr>
        <w:t xml:space="preserve"> or Convened IBC Review.  </w:t>
      </w:r>
    </w:p>
    <w:p w14:paraId="1BBB4283" w14:textId="318D3370" w:rsidR="00EF4A2C" w:rsidRPr="00305E69" w:rsidRDefault="00E13E6F" w:rsidP="00DB7B60">
      <w:pPr>
        <w:pStyle w:val="ListParagraph"/>
        <w:numPr>
          <w:ilvl w:val="4"/>
          <w:numId w:val="8"/>
        </w:numPr>
        <w:spacing w:after="0" w:line="240" w:lineRule="auto"/>
        <w:textAlignment w:val="baseline"/>
        <w:rPr>
          <w:rFonts w:eastAsia="Times New Roman" w:cs="Times New Roman"/>
          <w:szCs w:val="24"/>
        </w:rPr>
      </w:pPr>
      <w:r w:rsidRPr="00305E69">
        <w:rPr>
          <w:rFonts w:eastAsia="Times New Roman" w:cs="Times New Roman"/>
          <w:szCs w:val="24"/>
        </w:rPr>
        <w:t xml:space="preserve">Modifications allowable under </w:t>
      </w:r>
      <w:r w:rsidR="00973651" w:rsidRPr="00305E69">
        <w:rPr>
          <w:rFonts w:eastAsia="Times New Roman" w:cs="Times New Roman"/>
          <w:szCs w:val="24"/>
        </w:rPr>
        <w:t>a</w:t>
      </w:r>
      <w:r w:rsidRPr="00305E69">
        <w:rPr>
          <w:rFonts w:eastAsia="Times New Roman" w:cs="Times New Roman"/>
          <w:szCs w:val="24"/>
        </w:rPr>
        <w:t xml:space="preserve">dministrative </w:t>
      </w:r>
      <w:r w:rsidR="00973651" w:rsidRPr="00305E69">
        <w:rPr>
          <w:rFonts w:eastAsia="Times New Roman" w:cs="Times New Roman"/>
          <w:szCs w:val="24"/>
        </w:rPr>
        <w:t>r</w:t>
      </w:r>
      <w:r w:rsidRPr="00305E69">
        <w:rPr>
          <w:rFonts w:eastAsia="Times New Roman" w:cs="Times New Roman"/>
          <w:szCs w:val="24"/>
        </w:rPr>
        <w:t xml:space="preserve">eview </w:t>
      </w:r>
      <w:r w:rsidR="00261C30" w:rsidRPr="00305E69">
        <w:rPr>
          <w:rFonts w:eastAsia="Times New Roman" w:cs="Times New Roman"/>
          <w:szCs w:val="24"/>
        </w:rPr>
        <w:t xml:space="preserve">must have no impact on biosafety.  Administrative changes </w:t>
      </w:r>
      <w:r w:rsidR="00973651" w:rsidRPr="00305E69">
        <w:rPr>
          <w:rFonts w:eastAsia="Times New Roman" w:cs="Times New Roman"/>
          <w:szCs w:val="24"/>
        </w:rPr>
        <w:t xml:space="preserve">may </w:t>
      </w:r>
      <w:r w:rsidR="00261C30" w:rsidRPr="00305E69">
        <w:rPr>
          <w:rFonts w:eastAsia="Times New Roman" w:cs="Times New Roman"/>
          <w:szCs w:val="24"/>
        </w:rPr>
        <w:t xml:space="preserve">include </w:t>
      </w:r>
      <w:r w:rsidRPr="00305E69">
        <w:rPr>
          <w:rFonts w:eastAsia="Times New Roman" w:cs="Times New Roman"/>
          <w:szCs w:val="24"/>
        </w:rPr>
        <w:t>Personnel changes</w:t>
      </w:r>
      <w:r w:rsidR="00973651" w:rsidRPr="00305E69">
        <w:rPr>
          <w:rFonts w:eastAsia="Times New Roman" w:cs="Times New Roman"/>
          <w:szCs w:val="24"/>
        </w:rPr>
        <w:t xml:space="preserve"> and verification of training</w:t>
      </w:r>
      <w:r w:rsidRPr="00305E69">
        <w:rPr>
          <w:rFonts w:eastAsia="Times New Roman" w:cs="Times New Roman"/>
          <w:szCs w:val="24"/>
        </w:rPr>
        <w:t xml:space="preserve"> (not including a change in PI)</w:t>
      </w:r>
      <w:r w:rsidR="00F64ACA" w:rsidRPr="00305E69">
        <w:rPr>
          <w:rFonts w:eastAsia="Times New Roman" w:cs="Times New Roman"/>
          <w:szCs w:val="24"/>
        </w:rPr>
        <w:t>,</w:t>
      </w:r>
      <w:r w:rsidRPr="00305E69">
        <w:rPr>
          <w:rFonts w:eastAsia="Times New Roman" w:cs="Times New Roman"/>
          <w:szCs w:val="24"/>
        </w:rPr>
        <w:t xml:space="preserve"> </w:t>
      </w:r>
      <w:r w:rsidR="00EF4A2C" w:rsidRPr="00305E69">
        <w:t xml:space="preserve">typographical or grammatical errors, </w:t>
      </w:r>
      <w:r w:rsidR="00E64FAF">
        <w:t xml:space="preserve">updated </w:t>
      </w:r>
      <w:r w:rsidR="00EF4A2C" w:rsidRPr="00305E69">
        <w:t>funding source information, linking IRB or IACUC protocols, contact information, or verification of biosafety cabinet certification, etc</w:t>
      </w:r>
      <w:r w:rsidR="00DB7B60" w:rsidRPr="00305E69">
        <w:t>.</w:t>
      </w:r>
    </w:p>
    <w:p w14:paraId="79F365C4" w14:textId="77777777" w:rsidR="009F0B16" w:rsidRPr="00624FE0" w:rsidRDefault="009F0B16" w:rsidP="00F12FF2">
      <w:pPr>
        <w:pStyle w:val="ListParagraph"/>
        <w:numPr>
          <w:ilvl w:val="1"/>
          <w:numId w:val="8"/>
        </w:numPr>
      </w:pPr>
      <w:r w:rsidRPr="00305E69">
        <w:t>The IBC Chair, biological safety officer, or an IBC member delegated by the chair (</w:t>
      </w:r>
      <w:r w:rsidR="000F102C" w:rsidRPr="00305E69">
        <w:t>designated</w:t>
      </w:r>
      <w:r w:rsidRPr="00305E69">
        <w:t xml:space="preserve"> reviewer) may </w:t>
      </w:r>
      <w:r w:rsidR="000F102C" w:rsidRPr="00305E69">
        <w:t xml:space="preserve">review modifications to protocol that they determine are minor in nature.  </w:t>
      </w:r>
      <w:r w:rsidR="00A40C4D" w:rsidRPr="00305E69">
        <w:t xml:space="preserve">For example, a change in </w:t>
      </w:r>
      <w:r w:rsidR="001245C2" w:rsidRPr="00305E69">
        <w:t>room where the work is conducted could be reviewed through Designated Member Review.</w:t>
      </w:r>
      <w:bookmarkStart w:id="0" w:name="_GoBack"/>
      <w:bookmarkEnd w:id="0"/>
    </w:p>
    <w:p w14:paraId="099409AA" w14:textId="77777777" w:rsidR="000F102C" w:rsidRPr="00305E69" w:rsidRDefault="000F102C" w:rsidP="00F12FF2">
      <w:pPr>
        <w:pStyle w:val="ListParagraph"/>
        <w:numPr>
          <w:ilvl w:val="1"/>
          <w:numId w:val="8"/>
        </w:numPr>
      </w:pPr>
      <w:r w:rsidRPr="00305E69">
        <w:t xml:space="preserve">Significant changes </w:t>
      </w:r>
      <w:r w:rsidR="00A40C4D" w:rsidRPr="00305E69">
        <w:t xml:space="preserve">to protocols </w:t>
      </w:r>
      <w:r w:rsidRPr="00305E69">
        <w:t xml:space="preserve">that </w:t>
      </w:r>
      <w:r w:rsidR="00A40C4D" w:rsidRPr="00305E69">
        <w:t xml:space="preserve">may </w:t>
      </w:r>
      <w:r w:rsidRPr="00305E69">
        <w:t>have an impact on biosafety, must be reviewed by the Full Committee.</w:t>
      </w:r>
    </w:p>
    <w:p w14:paraId="0F43832C" w14:textId="77777777" w:rsidR="002F1466" w:rsidRPr="00624FE0" w:rsidRDefault="002F1466" w:rsidP="00565A8E">
      <w:pPr>
        <w:spacing w:after="0" w:line="240" w:lineRule="auto"/>
        <w:ind w:left="270"/>
        <w:textAlignment w:val="baseline"/>
        <w:rPr>
          <w:rFonts w:eastAsia="Times New Roman" w:cs="Times New Roman"/>
          <w:szCs w:val="24"/>
        </w:rPr>
      </w:pPr>
      <w:r w:rsidRPr="00305E69">
        <w:rPr>
          <w:rFonts w:eastAsia="Times New Roman" w:cs="Times New Roman"/>
          <w:szCs w:val="24"/>
        </w:rPr>
        <w:t xml:space="preserve">3. </w:t>
      </w:r>
      <w:r w:rsidR="00D12963" w:rsidRPr="00305E69">
        <w:rPr>
          <w:rFonts w:eastAsia="Times New Roman" w:cs="Times New Roman"/>
          <w:szCs w:val="24"/>
        </w:rPr>
        <w:t xml:space="preserve"> </w:t>
      </w:r>
      <w:r w:rsidRPr="00305E69">
        <w:rPr>
          <w:rFonts w:eastAsia="Times New Roman" w:cs="Times New Roman"/>
          <w:szCs w:val="24"/>
        </w:rPr>
        <w:t>The PI will be notified in writing by IBC Administration of the determination made by the IBC.  Changes may not be implemented until a modification request has been approved by the IBC.</w:t>
      </w:r>
    </w:p>
    <w:p w14:paraId="2C0BDC3E" w14:textId="77777777" w:rsidR="00E13E6F" w:rsidRPr="00305E69" w:rsidRDefault="00E13E6F" w:rsidP="00E13E6F">
      <w:pPr>
        <w:spacing w:after="0" w:line="240" w:lineRule="auto"/>
        <w:textAlignment w:val="baseline"/>
        <w:rPr>
          <w:rFonts w:eastAsia="Times New Roman" w:cs="Times New Roman"/>
          <w:szCs w:val="24"/>
        </w:rPr>
      </w:pPr>
    </w:p>
    <w:p w14:paraId="5E0D0546" w14:textId="77777777" w:rsidR="00AB6356" w:rsidRPr="00305E69" w:rsidRDefault="00763FDB" w:rsidP="000E57B9">
      <w:pPr>
        <w:pStyle w:val="ListParagraph"/>
        <w:numPr>
          <w:ilvl w:val="3"/>
          <w:numId w:val="21"/>
        </w:numPr>
      </w:pPr>
      <w:r w:rsidRPr="00305E69">
        <w:rPr>
          <w:b/>
          <w:u w:val="single"/>
        </w:rPr>
        <w:t>Categories of IBC Actions</w:t>
      </w:r>
    </w:p>
    <w:p w14:paraId="34902499" w14:textId="77777777" w:rsidR="00763FDB" w:rsidRPr="00305E69" w:rsidRDefault="00763FDB" w:rsidP="00AB6356">
      <w:pPr>
        <w:pStyle w:val="ListParagraph"/>
        <w:ind w:left="360"/>
      </w:pPr>
      <w:r w:rsidRPr="00305E69">
        <w:t xml:space="preserve">As a result of the review of a new protocol, renewal, or </w:t>
      </w:r>
      <w:r w:rsidR="00D8791E" w:rsidRPr="00305E69">
        <w:t>modified protocol</w:t>
      </w:r>
      <w:r w:rsidRPr="00305E69">
        <w:t>, an IBC may take one of several different actions depending on their findings:</w:t>
      </w:r>
    </w:p>
    <w:p w14:paraId="18D8D714" w14:textId="77777777" w:rsidR="00763FDB" w:rsidRPr="00305E69" w:rsidRDefault="00763FDB" w:rsidP="00763FDB">
      <w:pPr>
        <w:pStyle w:val="ListParagraph"/>
        <w:numPr>
          <w:ilvl w:val="0"/>
          <w:numId w:val="26"/>
        </w:numPr>
      </w:pPr>
      <w:r w:rsidRPr="00305E69">
        <w:t>Approval</w:t>
      </w:r>
    </w:p>
    <w:p w14:paraId="51BFD768" w14:textId="77777777" w:rsidR="00763FDB" w:rsidRPr="00305E69" w:rsidRDefault="00763FDB" w:rsidP="00763FDB">
      <w:pPr>
        <w:pStyle w:val="ListParagraph"/>
        <w:numPr>
          <w:ilvl w:val="0"/>
          <w:numId w:val="26"/>
        </w:numPr>
      </w:pPr>
      <w:r w:rsidRPr="00305E69">
        <w:t>Require modifications to secure approval</w:t>
      </w:r>
    </w:p>
    <w:p w14:paraId="47B79303" w14:textId="77777777" w:rsidR="00763FDB" w:rsidRPr="00305E69" w:rsidRDefault="00763FDB" w:rsidP="00763FDB">
      <w:pPr>
        <w:pStyle w:val="ListParagraph"/>
        <w:numPr>
          <w:ilvl w:val="0"/>
          <w:numId w:val="26"/>
        </w:numPr>
      </w:pPr>
      <w:r w:rsidRPr="00305E69">
        <w:t>Defer or table protocol</w:t>
      </w:r>
    </w:p>
    <w:p w14:paraId="688FB8F2" w14:textId="77777777" w:rsidR="00763FDB" w:rsidRPr="00305E69" w:rsidRDefault="00763FDB" w:rsidP="00763FDB">
      <w:pPr>
        <w:pStyle w:val="ListParagraph"/>
        <w:numPr>
          <w:ilvl w:val="0"/>
          <w:numId w:val="26"/>
        </w:numPr>
      </w:pPr>
      <w:r w:rsidRPr="00305E69">
        <w:t>Withhold approval</w:t>
      </w:r>
    </w:p>
    <w:p w14:paraId="6CB71A77" w14:textId="77777777" w:rsidR="00070599" w:rsidRPr="00305E69" w:rsidRDefault="00763FDB" w:rsidP="00AB6356">
      <w:pPr>
        <w:pStyle w:val="ListParagraph"/>
        <w:numPr>
          <w:ilvl w:val="0"/>
          <w:numId w:val="4"/>
        </w:numPr>
      </w:pPr>
      <w:r w:rsidRPr="00305E69">
        <w:t xml:space="preserve">If approval is withheld, the IBC must provide reasons for their decision in writing and give the PI an opportunity to respond or appeal the findings. The PI has the right to appeal the decision, within two weeks of notification from IBC to withhold approval. The appeal should be initiated by submitting a letter to the IBC Chair </w:t>
      </w:r>
      <w:r>
        <w:t>(</w:t>
      </w:r>
      <w:hyperlink r:id="rId23" w:history="1">
        <w:r w:rsidRPr="001F52C8">
          <w:rPr>
            <w:rStyle w:val="Hyperlink"/>
          </w:rPr>
          <w:t>biosafety@uwosh.edu</w:t>
        </w:r>
      </w:hyperlink>
      <w:r>
        <w:t xml:space="preserve">) </w:t>
      </w:r>
      <w:r w:rsidRPr="00624FE0">
        <w:t xml:space="preserve">addressing relevant issues.  The appeal will be discussed by the full committee.  Any decision to </w:t>
      </w:r>
      <w:r w:rsidRPr="00305E69">
        <w:t xml:space="preserve">reverse a disapproved study requires a vote of presiding quorum of the IBC. </w:t>
      </w:r>
    </w:p>
    <w:p w14:paraId="477F3F6A" w14:textId="77777777" w:rsidR="00922937" w:rsidRPr="00305E69" w:rsidRDefault="00AD6AC7" w:rsidP="009C4C17">
      <w:r w:rsidRPr="00305E69">
        <w:t>The PI will be informed in writing of the IBC’s review decision.</w:t>
      </w:r>
      <w:r>
        <w:t xml:space="preserve">  </w:t>
      </w:r>
      <w:r w:rsidR="004273AF">
        <w:t>IBC p</w:t>
      </w:r>
      <w:r w:rsidR="00922937" w:rsidRPr="00305E69">
        <w:t>rotocol</w:t>
      </w:r>
      <w:r w:rsidR="00701879" w:rsidRPr="00305E69">
        <w:t xml:space="preserve">s </w:t>
      </w:r>
      <w:r w:rsidR="004273AF">
        <w:t>will have an approval period of 3 years</w:t>
      </w:r>
      <w:r w:rsidR="00922937" w:rsidRPr="00305E69">
        <w:t xml:space="preserve">.    </w:t>
      </w:r>
    </w:p>
    <w:p w14:paraId="77B0ACD5" w14:textId="77777777" w:rsidR="00EF7EF9" w:rsidRPr="00305E69" w:rsidRDefault="00EF7EF9" w:rsidP="00BF77DE">
      <w:pPr>
        <w:spacing w:line="240" w:lineRule="auto"/>
        <w:textAlignment w:val="baseline"/>
        <w:rPr>
          <w:rFonts w:eastAsia="Times New Roman" w:cs="Times New Roman"/>
          <w:b/>
          <w:szCs w:val="24"/>
          <w:u w:val="single"/>
        </w:rPr>
      </w:pPr>
    </w:p>
    <w:p w14:paraId="4FE353B9" w14:textId="77777777" w:rsidR="00070599" w:rsidRPr="00305E69" w:rsidRDefault="00070599" w:rsidP="000E57B9">
      <w:pPr>
        <w:pStyle w:val="ListParagraph"/>
        <w:numPr>
          <w:ilvl w:val="3"/>
          <w:numId w:val="21"/>
        </w:numPr>
        <w:spacing w:line="240" w:lineRule="auto"/>
        <w:textAlignment w:val="baseline"/>
        <w:rPr>
          <w:rFonts w:eastAsia="Times New Roman" w:cs="Times New Roman"/>
          <w:b/>
          <w:szCs w:val="24"/>
          <w:u w:val="single"/>
        </w:rPr>
      </w:pPr>
      <w:r w:rsidRPr="00305E69">
        <w:rPr>
          <w:rFonts w:eastAsia="Times New Roman" w:cs="Times New Roman"/>
          <w:b/>
          <w:szCs w:val="24"/>
          <w:u w:val="single"/>
        </w:rPr>
        <w:t>IBC Protocol Renewal Process</w:t>
      </w:r>
    </w:p>
    <w:p w14:paraId="5F0FD338" w14:textId="77777777" w:rsidR="00E13E6F" w:rsidRPr="00305E69" w:rsidRDefault="00E13E6F" w:rsidP="005D4F84">
      <w:pPr>
        <w:spacing w:after="0" w:line="240" w:lineRule="auto"/>
        <w:textAlignment w:val="baseline"/>
        <w:rPr>
          <w:rFonts w:eastAsia="Times New Roman" w:cs="Times New Roman"/>
          <w:szCs w:val="24"/>
        </w:rPr>
      </w:pPr>
      <w:r w:rsidRPr="00305E69">
        <w:rPr>
          <w:rFonts w:eastAsia="Times New Roman" w:cs="Times New Roman"/>
          <w:szCs w:val="24"/>
        </w:rPr>
        <w:t>Principal Investigators will be notified approximately 60</w:t>
      </w:r>
      <w:r w:rsidR="00070599" w:rsidRPr="00305E69">
        <w:rPr>
          <w:rFonts w:eastAsia="Times New Roman" w:cs="Times New Roman"/>
          <w:szCs w:val="24"/>
        </w:rPr>
        <w:t xml:space="preserve"> and 30</w:t>
      </w:r>
      <w:r w:rsidRPr="00305E69">
        <w:rPr>
          <w:rFonts w:eastAsia="Times New Roman" w:cs="Times New Roman"/>
          <w:szCs w:val="24"/>
        </w:rPr>
        <w:t xml:space="preserve"> days prior to their protocol expiration date.  At this time, the PI must decide whether they wish to request an IBC renewal or </w:t>
      </w:r>
      <w:r w:rsidRPr="00305E69">
        <w:rPr>
          <w:rFonts w:eastAsia="Times New Roman" w:cs="Times New Roman"/>
          <w:szCs w:val="24"/>
        </w:rPr>
        <w:lastRenderedPageBreak/>
        <w:t>to close the project.  Principal Investigators who plan to renew their project must review and update their protocol if necessary and re-submit their IBC Application</w:t>
      </w:r>
      <w:r w:rsidR="002E4ED0" w:rsidRPr="00305E69">
        <w:rPr>
          <w:rFonts w:eastAsia="Times New Roman" w:cs="Times New Roman"/>
          <w:szCs w:val="24"/>
        </w:rPr>
        <w:t xml:space="preserve"> Form</w:t>
      </w:r>
      <w:r w:rsidRPr="00305E69">
        <w:rPr>
          <w:rFonts w:eastAsia="Times New Roman" w:cs="Times New Roman"/>
          <w:szCs w:val="24"/>
        </w:rPr>
        <w:t xml:space="preserve"> selecting the 3 year renewal on the application</w:t>
      </w:r>
      <w:r w:rsidR="00721AD5" w:rsidRPr="00305E69">
        <w:rPr>
          <w:rFonts w:eastAsia="Times New Roman" w:cs="Times New Roman"/>
          <w:szCs w:val="24"/>
        </w:rPr>
        <w:t xml:space="preserve"> prior to the protocol expiration date.  </w:t>
      </w:r>
      <w:r w:rsidRPr="00305E69">
        <w:rPr>
          <w:rFonts w:eastAsia="Times New Roman" w:cs="Times New Roman"/>
          <w:szCs w:val="24"/>
        </w:rPr>
        <w:t xml:space="preserve"> The IBC will </w:t>
      </w:r>
      <w:r w:rsidR="005D4F84" w:rsidRPr="00305E69">
        <w:rPr>
          <w:rFonts w:eastAsia="Times New Roman" w:cs="Times New Roman"/>
          <w:szCs w:val="24"/>
        </w:rPr>
        <w:t xml:space="preserve">conduct a de novo </w:t>
      </w:r>
      <w:r w:rsidRPr="00305E69">
        <w:rPr>
          <w:rFonts w:eastAsia="Times New Roman" w:cs="Times New Roman"/>
          <w:szCs w:val="24"/>
        </w:rPr>
        <w:t xml:space="preserve">review </w:t>
      </w:r>
      <w:r w:rsidR="005D4F84" w:rsidRPr="00305E69">
        <w:rPr>
          <w:rFonts w:eastAsia="Times New Roman" w:cs="Times New Roman"/>
          <w:szCs w:val="24"/>
        </w:rPr>
        <w:t xml:space="preserve">of </w:t>
      </w:r>
      <w:r w:rsidRPr="00305E69">
        <w:rPr>
          <w:rFonts w:eastAsia="Times New Roman" w:cs="Times New Roman"/>
          <w:szCs w:val="24"/>
        </w:rPr>
        <w:t xml:space="preserve">the renewal IBC </w:t>
      </w:r>
      <w:r w:rsidR="005D4F84" w:rsidRPr="00305E69">
        <w:rPr>
          <w:rFonts w:eastAsia="Times New Roman" w:cs="Times New Roman"/>
          <w:szCs w:val="24"/>
        </w:rPr>
        <w:t>Application</w:t>
      </w:r>
      <w:r w:rsidRPr="00305E69">
        <w:rPr>
          <w:rFonts w:eastAsia="Times New Roman" w:cs="Times New Roman"/>
          <w:szCs w:val="24"/>
        </w:rPr>
        <w:t xml:space="preserve"> </w:t>
      </w:r>
      <w:r w:rsidR="005D4F84" w:rsidRPr="00305E69">
        <w:rPr>
          <w:rFonts w:eastAsia="Times New Roman" w:cs="Times New Roman"/>
          <w:szCs w:val="24"/>
        </w:rPr>
        <w:t>following the review procedures described in Part B.  The PI will be notified i</w:t>
      </w:r>
      <w:r w:rsidRPr="00305E69">
        <w:rPr>
          <w:rFonts w:eastAsia="Times New Roman" w:cs="Times New Roman"/>
          <w:szCs w:val="24"/>
        </w:rPr>
        <w:t>n writing of the determination</w:t>
      </w:r>
      <w:r w:rsidR="0051729C" w:rsidRPr="00305E69">
        <w:rPr>
          <w:rFonts w:eastAsia="Times New Roman" w:cs="Times New Roman"/>
          <w:szCs w:val="24"/>
        </w:rPr>
        <w:t xml:space="preserve"> made by the IBC</w:t>
      </w:r>
      <w:r w:rsidRPr="00305E69">
        <w:rPr>
          <w:rFonts w:eastAsia="Times New Roman" w:cs="Times New Roman"/>
          <w:szCs w:val="24"/>
        </w:rPr>
        <w:t>.</w:t>
      </w:r>
    </w:p>
    <w:p w14:paraId="7D270493" w14:textId="77777777" w:rsidR="00CF140E" w:rsidRDefault="00CF140E" w:rsidP="005D4F84">
      <w:pPr>
        <w:spacing w:after="0" w:line="240" w:lineRule="auto"/>
        <w:textAlignment w:val="baseline"/>
        <w:rPr>
          <w:rFonts w:eastAsia="Times New Roman" w:cs="Times New Roman"/>
          <w:color w:val="444444"/>
          <w:szCs w:val="24"/>
        </w:rPr>
      </w:pPr>
    </w:p>
    <w:p w14:paraId="5CE7778F" w14:textId="77777777" w:rsidR="00CF140E" w:rsidRPr="00CF140E" w:rsidRDefault="00CF140E" w:rsidP="000E57B9">
      <w:pPr>
        <w:pStyle w:val="ListParagraph"/>
        <w:numPr>
          <w:ilvl w:val="3"/>
          <w:numId w:val="21"/>
        </w:numPr>
        <w:spacing w:after="0" w:line="240" w:lineRule="auto"/>
        <w:textAlignment w:val="baseline"/>
        <w:rPr>
          <w:rFonts w:eastAsia="Times New Roman" w:cs="Times New Roman"/>
          <w:b/>
          <w:color w:val="444444"/>
          <w:szCs w:val="24"/>
          <w:u w:val="single"/>
        </w:rPr>
      </w:pPr>
      <w:r w:rsidRPr="00CF140E">
        <w:rPr>
          <w:rFonts w:eastAsia="Times New Roman" w:cs="Times New Roman"/>
          <w:b/>
          <w:color w:val="444444"/>
          <w:szCs w:val="24"/>
          <w:u w:val="single"/>
        </w:rPr>
        <w:t>IBC Closures</w:t>
      </w:r>
    </w:p>
    <w:p w14:paraId="36E2820A" w14:textId="77777777" w:rsidR="00E13E6F" w:rsidRDefault="00E13E6F" w:rsidP="00E13E6F">
      <w:pPr>
        <w:spacing w:line="240" w:lineRule="auto"/>
        <w:textAlignment w:val="baseline"/>
        <w:rPr>
          <w:rFonts w:eastAsia="Times New Roman" w:cs="Times New Roman"/>
          <w:color w:val="0077AD"/>
          <w:szCs w:val="24"/>
          <w:u w:val="single"/>
          <w:bdr w:val="none" w:sz="0" w:space="0" w:color="auto" w:frame="1"/>
        </w:rPr>
      </w:pPr>
      <w:r w:rsidRPr="00305E69">
        <w:rPr>
          <w:rFonts w:eastAsia="Times New Roman" w:cs="Times New Roman"/>
          <w:szCs w:val="24"/>
        </w:rPr>
        <w:t xml:space="preserve">If a PI wishes to close their </w:t>
      </w:r>
      <w:r w:rsidR="00E8724D" w:rsidRPr="00305E69">
        <w:rPr>
          <w:rFonts w:eastAsia="Times New Roman" w:cs="Times New Roman"/>
          <w:szCs w:val="24"/>
        </w:rPr>
        <w:t>protocol</w:t>
      </w:r>
      <w:r w:rsidR="00E40FC4" w:rsidRPr="00305E69">
        <w:rPr>
          <w:rFonts w:eastAsia="Times New Roman" w:cs="Times New Roman"/>
          <w:szCs w:val="24"/>
        </w:rPr>
        <w:t>,</w:t>
      </w:r>
      <w:r w:rsidR="00E8724D" w:rsidRPr="00305E69">
        <w:rPr>
          <w:rFonts w:eastAsia="Times New Roman" w:cs="Times New Roman"/>
          <w:szCs w:val="24"/>
        </w:rPr>
        <w:t xml:space="preserve"> they may submit an </w:t>
      </w:r>
      <w:hyperlink r:id="rId24" w:history="1">
        <w:r w:rsidR="00E8724D" w:rsidRPr="00E8724D">
          <w:rPr>
            <w:rStyle w:val="Hyperlink"/>
            <w:rFonts w:eastAsia="Times New Roman" w:cs="Times New Roman"/>
            <w:szCs w:val="24"/>
          </w:rPr>
          <w:t>IBC Closure Form</w:t>
        </w:r>
      </w:hyperlink>
      <w:r w:rsidR="00E8724D">
        <w:rPr>
          <w:rFonts w:eastAsia="Times New Roman" w:cs="Times New Roman"/>
          <w:color w:val="444444"/>
          <w:szCs w:val="24"/>
        </w:rPr>
        <w:t xml:space="preserve"> </w:t>
      </w:r>
      <w:r w:rsidRPr="00305E69">
        <w:rPr>
          <w:rFonts w:eastAsia="Times New Roman" w:cs="Times New Roman"/>
          <w:szCs w:val="24"/>
        </w:rPr>
        <w:t>to</w:t>
      </w:r>
      <w:r w:rsidRPr="00E13E6F">
        <w:rPr>
          <w:rFonts w:eastAsia="Times New Roman" w:cs="Times New Roman"/>
          <w:color w:val="444444"/>
          <w:szCs w:val="24"/>
        </w:rPr>
        <w:t> </w:t>
      </w:r>
      <w:hyperlink r:id="rId25" w:history="1">
        <w:r w:rsidRPr="00A96BCB">
          <w:rPr>
            <w:rFonts w:eastAsia="Times New Roman" w:cs="Times New Roman"/>
            <w:color w:val="0077AD"/>
            <w:szCs w:val="24"/>
            <w:u w:val="single"/>
            <w:bdr w:val="none" w:sz="0" w:space="0" w:color="auto" w:frame="1"/>
          </w:rPr>
          <w:t>biosafety@uwosh.edu</w:t>
        </w:r>
      </w:hyperlink>
      <w:r w:rsidR="002E4ED0">
        <w:rPr>
          <w:rFonts w:eastAsia="Times New Roman" w:cs="Times New Roman"/>
          <w:color w:val="0077AD"/>
          <w:szCs w:val="24"/>
          <w:u w:val="single"/>
          <w:bdr w:val="none" w:sz="0" w:space="0" w:color="auto" w:frame="1"/>
        </w:rPr>
        <w:t>.</w:t>
      </w:r>
    </w:p>
    <w:p w14:paraId="2AA39259" w14:textId="77777777" w:rsidR="00EF502C" w:rsidRPr="002277EE" w:rsidRDefault="00EF502C" w:rsidP="000E57B9">
      <w:pPr>
        <w:pStyle w:val="ListParagraph"/>
        <w:numPr>
          <w:ilvl w:val="3"/>
          <w:numId w:val="21"/>
        </w:numPr>
        <w:spacing w:after="0" w:line="288" w:lineRule="atLeast"/>
        <w:textAlignment w:val="baseline"/>
        <w:outlineLvl w:val="4"/>
        <w:rPr>
          <w:rFonts w:eastAsia="Times New Roman" w:cs="Times New Roman"/>
          <w:b/>
          <w:szCs w:val="24"/>
          <w:u w:val="single"/>
        </w:rPr>
      </w:pPr>
      <w:r w:rsidRPr="002277EE">
        <w:rPr>
          <w:rFonts w:eastAsia="Times New Roman" w:cs="Times New Roman"/>
          <w:b/>
          <w:szCs w:val="24"/>
          <w:u w:val="single"/>
        </w:rPr>
        <w:t>Periodic Lab Assessments</w:t>
      </w:r>
    </w:p>
    <w:p w14:paraId="60323C91" w14:textId="77777777" w:rsidR="00624FE0" w:rsidRDefault="00EF502C" w:rsidP="000D0534">
      <w:pPr>
        <w:spacing w:after="0" w:line="288" w:lineRule="atLeast"/>
        <w:textAlignment w:val="baseline"/>
        <w:outlineLvl w:val="4"/>
        <w:rPr>
          <w:rFonts w:eastAsia="Times New Roman" w:cs="Times New Roman"/>
          <w:szCs w:val="24"/>
        </w:rPr>
      </w:pPr>
      <w:r w:rsidRPr="002277EE">
        <w:rPr>
          <w:rFonts w:eastAsia="Times New Roman" w:cs="Times New Roman"/>
          <w:szCs w:val="24"/>
        </w:rPr>
        <w:t>The IBC</w:t>
      </w:r>
      <w:r w:rsidR="000D0534" w:rsidRPr="002277EE">
        <w:rPr>
          <w:rFonts w:eastAsia="Times New Roman" w:cs="Times New Roman"/>
          <w:szCs w:val="24"/>
        </w:rPr>
        <w:t xml:space="preserve"> will conduct an initial lab </w:t>
      </w:r>
      <w:r w:rsidR="00D011D9">
        <w:rPr>
          <w:rFonts w:eastAsia="Times New Roman" w:cs="Times New Roman"/>
          <w:szCs w:val="24"/>
        </w:rPr>
        <w:t xml:space="preserve">safety </w:t>
      </w:r>
      <w:r w:rsidR="002C5CAF" w:rsidRPr="002C5CAF">
        <w:rPr>
          <w:rFonts w:eastAsia="Times New Roman" w:cs="Times New Roman"/>
          <w:szCs w:val="24"/>
        </w:rPr>
        <w:t xml:space="preserve">assessment prior to initiation of a new project and approximately 18 months thereafter.  </w:t>
      </w:r>
      <w:r w:rsidR="006F4175">
        <w:rPr>
          <w:rFonts w:eastAsia="Times New Roman" w:cs="Times New Roman"/>
          <w:szCs w:val="24"/>
        </w:rPr>
        <w:t xml:space="preserve">The lab </w:t>
      </w:r>
      <w:r w:rsidR="00863288" w:rsidRPr="002277EE">
        <w:rPr>
          <w:rFonts w:eastAsia="Times New Roman" w:cs="Times New Roman"/>
          <w:szCs w:val="24"/>
        </w:rPr>
        <w:t xml:space="preserve">assessments will </w:t>
      </w:r>
      <w:r w:rsidR="001327F3" w:rsidRPr="002277EE">
        <w:rPr>
          <w:rFonts w:eastAsia="Times New Roman" w:cs="Times New Roman"/>
          <w:szCs w:val="24"/>
        </w:rPr>
        <w:t xml:space="preserve">be conducted by the Biological Safety Officer and will </w:t>
      </w:r>
      <w:r w:rsidR="00863288" w:rsidRPr="002277EE">
        <w:rPr>
          <w:rFonts w:eastAsia="Times New Roman" w:cs="Times New Roman"/>
          <w:szCs w:val="24"/>
        </w:rPr>
        <w:t xml:space="preserve">focus on safe work </w:t>
      </w:r>
      <w:r w:rsidR="001327F3" w:rsidRPr="002277EE">
        <w:rPr>
          <w:rFonts w:eastAsia="Times New Roman" w:cs="Times New Roman"/>
          <w:szCs w:val="24"/>
        </w:rPr>
        <w:t>practices.</w:t>
      </w:r>
      <w:r w:rsidR="00863288" w:rsidRPr="002277EE">
        <w:rPr>
          <w:rFonts w:eastAsia="Times New Roman" w:cs="Times New Roman"/>
          <w:szCs w:val="24"/>
        </w:rPr>
        <w:t xml:space="preserve"> </w:t>
      </w:r>
      <w:r w:rsidR="00BE1990">
        <w:rPr>
          <w:rFonts w:eastAsia="Times New Roman" w:cs="Times New Roman"/>
          <w:szCs w:val="24"/>
        </w:rPr>
        <w:t xml:space="preserve">A copy of the </w:t>
      </w:r>
      <w:hyperlink r:id="rId26" w:history="1">
        <w:r w:rsidR="00BE1990" w:rsidRPr="00CC1DE7">
          <w:rPr>
            <w:rStyle w:val="Hyperlink"/>
            <w:rFonts w:eastAsia="Times New Roman" w:cs="Times New Roman"/>
            <w:szCs w:val="24"/>
          </w:rPr>
          <w:t>Lab Assessment Checklist</w:t>
        </w:r>
      </w:hyperlink>
      <w:r w:rsidR="00BE1990">
        <w:rPr>
          <w:rFonts w:eastAsia="Times New Roman" w:cs="Times New Roman"/>
          <w:szCs w:val="24"/>
        </w:rPr>
        <w:t xml:space="preserve"> is located on the IBC website and </w:t>
      </w:r>
      <w:r w:rsidR="006F4175">
        <w:rPr>
          <w:rFonts w:eastAsia="Times New Roman" w:cs="Times New Roman"/>
          <w:szCs w:val="24"/>
        </w:rPr>
        <w:t>will be made available to</w:t>
      </w:r>
      <w:r w:rsidR="00BE1990">
        <w:rPr>
          <w:rFonts w:eastAsia="Times New Roman" w:cs="Times New Roman"/>
          <w:szCs w:val="24"/>
        </w:rPr>
        <w:t xml:space="preserve"> PIs in advance.  </w:t>
      </w:r>
      <w:r w:rsidR="000D0534" w:rsidRPr="002277EE">
        <w:rPr>
          <w:rFonts w:eastAsia="Times New Roman" w:cs="Times New Roman"/>
          <w:szCs w:val="24"/>
        </w:rPr>
        <w:t xml:space="preserve"> A comprehensive </w:t>
      </w:r>
      <w:r w:rsidR="002E1B30" w:rsidRPr="002277EE">
        <w:rPr>
          <w:rFonts w:eastAsia="Times New Roman" w:cs="Times New Roman"/>
          <w:szCs w:val="24"/>
        </w:rPr>
        <w:t xml:space="preserve">biological/chemical </w:t>
      </w:r>
      <w:r w:rsidR="000D0534" w:rsidRPr="002277EE">
        <w:rPr>
          <w:rFonts w:eastAsia="Times New Roman" w:cs="Times New Roman"/>
          <w:szCs w:val="24"/>
        </w:rPr>
        <w:t>la</w:t>
      </w:r>
      <w:r w:rsidR="00D011D9">
        <w:rPr>
          <w:rFonts w:eastAsia="Times New Roman" w:cs="Times New Roman"/>
          <w:szCs w:val="24"/>
        </w:rPr>
        <w:t xml:space="preserve">b safety visit may be conducted </w:t>
      </w:r>
      <w:r w:rsidR="000D0534" w:rsidRPr="002277EE">
        <w:rPr>
          <w:rFonts w:eastAsia="Times New Roman" w:cs="Times New Roman"/>
          <w:szCs w:val="24"/>
        </w:rPr>
        <w:t xml:space="preserve">if the Chemical Hygiene Officer or another member from EHS is </w:t>
      </w:r>
      <w:r w:rsidR="002E1B30" w:rsidRPr="002277EE">
        <w:rPr>
          <w:rFonts w:eastAsia="Times New Roman" w:cs="Times New Roman"/>
          <w:szCs w:val="24"/>
        </w:rPr>
        <w:t>available to attend.</w:t>
      </w:r>
      <w:r w:rsidR="001F2EC4">
        <w:rPr>
          <w:rFonts w:eastAsia="Times New Roman" w:cs="Times New Roman"/>
          <w:szCs w:val="24"/>
        </w:rPr>
        <w:t xml:space="preserve">  </w:t>
      </w:r>
    </w:p>
    <w:p w14:paraId="024A7786" w14:textId="77777777" w:rsidR="0021283E" w:rsidRDefault="0021283E" w:rsidP="000D0534">
      <w:pPr>
        <w:spacing w:after="0" w:line="288" w:lineRule="atLeast"/>
        <w:textAlignment w:val="baseline"/>
        <w:outlineLvl w:val="4"/>
        <w:rPr>
          <w:rFonts w:eastAsia="Times New Roman" w:cs="Times New Roman"/>
          <w:szCs w:val="24"/>
        </w:rPr>
      </w:pPr>
    </w:p>
    <w:p w14:paraId="7DD7F1EB" w14:textId="77777777" w:rsidR="002C5CAF" w:rsidRPr="002277EE" w:rsidRDefault="002C5CAF" w:rsidP="000D0534">
      <w:pPr>
        <w:spacing w:after="0" w:line="288" w:lineRule="atLeast"/>
        <w:textAlignment w:val="baseline"/>
        <w:outlineLvl w:val="4"/>
        <w:rPr>
          <w:rFonts w:eastAsia="Times New Roman" w:cs="Times New Roman"/>
          <w:szCs w:val="24"/>
        </w:rPr>
      </w:pPr>
    </w:p>
    <w:p w14:paraId="6068C4F3" w14:textId="77777777" w:rsidR="00624FE0" w:rsidRDefault="00624FE0">
      <w:pPr>
        <w:rPr>
          <w:rFonts w:eastAsia="Times New Roman" w:cs="Times New Roman"/>
          <w:color w:val="333333"/>
          <w:szCs w:val="24"/>
        </w:rPr>
      </w:pPr>
      <w:r>
        <w:rPr>
          <w:rFonts w:eastAsia="Times New Roman" w:cs="Times New Roman"/>
          <w:color w:val="333333"/>
          <w:szCs w:val="24"/>
        </w:rPr>
        <w:br w:type="page"/>
      </w:r>
    </w:p>
    <w:p w14:paraId="2E588382" w14:textId="77777777" w:rsidR="004F34D4" w:rsidRPr="00305E69" w:rsidRDefault="004F34D4" w:rsidP="004F34D4">
      <w:pPr>
        <w:pStyle w:val="Heading5"/>
        <w:numPr>
          <w:ilvl w:val="0"/>
          <w:numId w:val="0"/>
        </w:numPr>
        <w:spacing w:before="0" w:line="288" w:lineRule="atLeast"/>
        <w:textAlignment w:val="baseline"/>
        <w:rPr>
          <w:rFonts w:ascii="Times New Roman" w:hAnsi="Times New Roman" w:cs="Times New Roman"/>
          <w:b/>
          <w:bCs/>
          <w:color w:val="auto"/>
          <w:szCs w:val="24"/>
        </w:rPr>
      </w:pPr>
      <w:r w:rsidRPr="00305E69">
        <w:rPr>
          <w:rFonts w:ascii="Times New Roman" w:hAnsi="Times New Roman" w:cs="Times New Roman"/>
          <w:b/>
          <w:bCs/>
          <w:color w:val="auto"/>
          <w:szCs w:val="24"/>
        </w:rPr>
        <w:lastRenderedPageBreak/>
        <w:t xml:space="preserve">Appendix A: Research Involving Recombinant or Synthetic Nucleic Acid Molecules </w:t>
      </w:r>
    </w:p>
    <w:p w14:paraId="14B9D4EA" w14:textId="77777777" w:rsidR="004F34D4" w:rsidRPr="00AF04A6" w:rsidRDefault="004F34D4" w:rsidP="004F34D4"/>
    <w:p w14:paraId="3829E1CF" w14:textId="77777777" w:rsidR="004F34D4" w:rsidRPr="00305E69" w:rsidRDefault="004F34D4" w:rsidP="004F34D4">
      <w:pPr>
        <w:pStyle w:val="NormalWeb"/>
        <w:spacing w:before="0" w:beforeAutospacing="0" w:after="0" w:afterAutospacing="0"/>
        <w:textAlignment w:val="baseline"/>
        <w:rPr>
          <w:u w:val="single"/>
        </w:rPr>
      </w:pPr>
      <w:r w:rsidRPr="00305E69">
        <w:rPr>
          <w:rStyle w:val="Strong"/>
          <w:rFonts w:eastAsiaTheme="majorEastAsia"/>
          <w:u w:val="single"/>
          <w:bdr w:val="none" w:sz="0" w:space="0" w:color="auto" w:frame="1"/>
        </w:rPr>
        <w:t>Exempt Research</w:t>
      </w:r>
    </w:p>
    <w:p w14:paraId="39C8A302" w14:textId="77777777" w:rsidR="004F34D4" w:rsidRPr="00305E69" w:rsidRDefault="004F34D4" w:rsidP="004F34D4">
      <w:pPr>
        <w:pStyle w:val="NormalWeb"/>
        <w:spacing w:before="0" w:beforeAutospacing="0" w:after="0" w:afterAutospacing="0"/>
        <w:textAlignment w:val="baseline"/>
      </w:pPr>
      <w:r w:rsidRPr="00305E69">
        <w:t>Exempt status activities, as defined in the </w:t>
      </w:r>
      <w:hyperlink r:id="rId27" w:history="1">
        <w:r w:rsidRPr="00A96BCB">
          <w:rPr>
            <w:rStyle w:val="Emphasis"/>
            <w:rFonts w:eastAsiaTheme="majorEastAsia"/>
            <w:b/>
            <w:bCs/>
            <w:color w:val="0077AD"/>
            <w:bdr w:val="none" w:sz="0" w:space="0" w:color="auto" w:frame="1"/>
          </w:rPr>
          <w:t>NIH Guidelines</w:t>
        </w:r>
      </w:hyperlink>
      <w:r w:rsidRPr="00A96BCB">
        <w:rPr>
          <w:color w:val="444444"/>
        </w:rPr>
        <w:t> </w:t>
      </w:r>
      <w:r w:rsidRPr="00305E69">
        <w:t>Section III-F (page 23) shall be determined by the IBC Chair or a member of the IBC designated by the chair.  The following experiments involving recombinant or synthetic nucleic acids are considered exempt from the NIH Guidelines:</w:t>
      </w:r>
    </w:p>
    <w:p w14:paraId="61225147" w14:textId="77777777" w:rsidR="004F34D4" w:rsidRPr="00305E69" w:rsidRDefault="004F34D4" w:rsidP="000577F6">
      <w:pPr>
        <w:numPr>
          <w:ilvl w:val="0"/>
          <w:numId w:val="14"/>
        </w:numPr>
        <w:spacing w:after="0" w:line="390" w:lineRule="atLeast"/>
        <w:ind w:left="0"/>
        <w:textAlignment w:val="baseline"/>
        <w:rPr>
          <w:rFonts w:cs="Times New Roman"/>
          <w:szCs w:val="24"/>
        </w:rPr>
      </w:pPr>
      <w:r w:rsidRPr="00305E69">
        <w:rPr>
          <w:rFonts w:cs="Times New Roman"/>
          <w:szCs w:val="24"/>
        </w:rPr>
        <w:t>III-F-1:  Those synthetic nucleic acids that: (1) can neither replicate nor generate nucleic acids that can replicate in any living cell (e.g., oligonucleotides or other synthetic nucleic acids that do not contain an origin of replication or contain elements known to interact with either DNA or RNA polymerase.</w:t>
      </w:r>
    </w:p>
    <w:p w14:paraId="7C94EA8E" w14:textId="77777777" w:rsidR="004F34D4" w:rsidRPr="00305E69" w:rsidRDefault="004F34D4" w:rsidP="000577F6">
      <w:pPr>
        <w:numPr>
          <w:ilvl w:val="0"/>
          <w:numId w:val="14"/>
        </w:numPr>
        <w:spacing w:after="0" w:line="390" w:lineRule="atLeast"/>
        <w:ind w:left="0"/>
        <w:textAlignment w:val="baseline"/>
        <w:rPr>
          <w:rFonts w:cs="Times New Roman"/>
          <w:szCs w:val="24"/>
        </w:rPr>
      </w:pPr>
      <w:r w:rsidRPr="00305E69">
        <w:rPr>
          <w:rFonts w:cs="Times New Roman"/>
          <w:szCs w:val="24"/>
        </w:rPr>
        <w:t>III-F-2:  Those that are not in organisms, cells, or viruses and that have not been modified or manipulated (e.g., encapsulated into synthetic or natural vehicles) to render them capable of penetrating cellular membranes.</w:t>
      </w:r>
    </w:p>
    <w:p w14:paraId="77F73AA6" w14:textId="77777777" w:rsidR="004F34D4" w:rsidRPr="00305E69" w:rsidRDefault="004F34D4" w:rsidP="000577F6">
      <w:pPr>
        <w:numPr>
          <w:ilvl w:val="0"/>
          <w:numId w:val="14"/>
        </w:numPr>
        <w:spacing w:after="0" w:line="390" w:lineRule="atLeast"/>
        <w:ind w:left="0"/>
        <w:textAlignment w:val="baseline"/>
        <w:rPr>
          <w:rFonts w:cs="Times New Roman"/>
          <w:szCs w:val="24"/>
        </w:rPr>
      </w:pPr>
      <w:r w:rsidRPr="00305E69">
        <w:rPr>
          <w:rFonts w:cs="Times New Roman"/>
          <w:szCs w:val="24"/>
        </w:rPr>
        <w:t>III-F-3:  Those that consist solely of the exact recombinant or synthetic nucleic acid sequence from a single source that exists contemporaneously in nature.</w:t>
      </w:r>
    </w:p>
    <w:p w14:paraId="6291F640" w14:textId="77777777" w:rsidR="004F34D4" w:rsidRPr="00305E69" w:rsidRDefault="004F34D4" w:rsidP="000577F6">
      <w:pPr>
        <w:numPr>
          <w:ilvl w:val="0"/>
          <w:numId w:val="14"/>
        </w:numPr>
        <w:spacing w:after="0" w:line="390" w:lineRule="atLeast"/>
        <w:ind w:left="0"/>
        <w:textAlignment w:val="baseline"/>
        <w:rPr>
          <w:rFonts w:cs="Times New Roman"/>
          <w:szCs w:val="24"/>
        </w:rPr>
      </w:pPr>
      <w:r w:rsidRPr="00305E69">
        <w:rPr>
          <w:rFonts w:cs="Times New Roman"/>
          <w:szCs w:val="24"/>
        </w:rPr>
        <w:t>III-F-4:  rDNA molecules consisting entirely of DNA from a prokaryotic host including its indigenous plasmids or viruses where propagated only in that the host (or a closely related strain of the same species) or transferred to another host by know physiological means.</w:t>
      </w:r>
    </w:p>
    <w:p w14:paraId="14A0F083" w14:textId="77777777" w:rsidR="004F34D4" w:rsidRPr="00305E69" w:rsidRDefault="004F34D4" w:rsidP="000577F6">
      <w:pPr>
        <w:numPr>
          <w:ilvl w:val="0"/>
          <w:numId w:val="14"/>
        </w:numPr>
        <w:spacing w:after="0" w:line="390" w:lineRule="atLeast"/>
        <w:ind w:left="0"/>
        <w:textAlignment w:val="baseline"/>
        <w:rPr>
          <w:rFonts w:cs="Times New Roman"/>
          <w:szCs w:val="24"/>
        </w:rPr>
      </w:pPr>
      <w:r w:rsidRPr="00305E69">
        <w:rPr>
          <w:rFonts w:cs="Times New Roman"/>
          <w:szCs w:val="24"/>
        </w:rPr>
        <w:t>III-F-5:  rDNA molecules consisting entirely of DNA from a eukaryotic host (including mitochondria, chloroplasts, or plasmids but excluding viruses) when propagated only in that host or a closely related strain of the same species.</w:t>
      </w:r>
    </w:p>
    <w:p w14:paraId="7D377D58" w14:textId="77777777" w:rsidR="004F34D4" w:rsidRPr="00305E69" w:rsidRDefault="004F34D4" w:rsidP="000577F6">
      <w:pPr>
        <w:numPr>
          <w:ilvl w:val="0"/>
          <w:numId w:val="14"/>
        </w:numPr>
        <w:spacing w:after="0" w:line="390" w:lineRule="atLeast"/>
        <w:ind w:left="0"/>
        <w:textAlignment w:val="baseline"/>
        <w:rPr>
          <w:rFonts w:cs="Times New Roman"/>
          <w:szCs w:val="24"/>
        </w:rPr>
      </w:pPr>
      <w:r w:rsidRPr="00305E69">
        <w:rPr>
          <w:rFonts w:cs="Times New Roman"/>
          <w:szCs w:val="24"/>
        </w:rPr>
        <w:t>III-F-6:  rDNA molecules consisting entirely of DNA segments from different species that exchange DNA by known physiological processes and are described in Appendix A.</w:t>
      </w:r>
    </w:p>
    <w:p w14:paraId="54D09C2B" w14:textId="77777777" w:rsidR="004F34D4" w:rsidRPr="00305E69" w:rsidRDefault="004F34D4" w:rsidP="000577F6">
      <w:pPr>
        <w:numPr>
          <w:ilvl w:val="0"/>
          <w:numId w:val="14"/>
        </w:numPr>
        <w:spacing w:after="0" w:line="390" w:lineRule="atLeast"/>
        <w:ind w:left="0"/>
        <w:textAlignment w:val="baseline"/>
        <w:rPr>
          <w:rFonts w:cs="Times New Roman"/>
          <w:szCs w:val="24"/>
        </w:rPr>
      </w:pPr>
      <w:r w:rsidRPr="00305E69">
        <w:rPr>
          <w:rFonts w:cs="Times New Roman"/>
          <w:szCs w:val="24"/>
        </w:rPr>
        <w:t>III-F-7:  Those genomic DNA molecules that have acquired a transposable element provided the transposable element does not contain any recombinant and/or synthetic DNA</w:t>
      </w:r>
    </w:p>
    <w:p w14:paraId="6203F98E" w14:textId="6073CD32" w:rsidR="004F34D4" w:rsidRPr="00305E69" w:rsidRDefault="004F34D4" w:rsidP="000577F6">
      <w:pPr>
        <w:numPr>
          <w:ilvl w:val="0"/>
          <w:numId w:val="14"/>
        </w:numPr>
        <w:spacing w:after="0" w:line="390" w:lineRule="atLeast"/>
        <w:ind w:left="0"/>
        <w:textAlignment w:val="baseline"/>
        <w:rPr>
          <w:rFonts w:cs="Times New Roman"/>
          <w:szCs w:val="24"/>
        </w:rPr>
      </w:pPr>
      <w:r w:rsidRPr="00305E69">
        <w:rPr>
          <w:rFonts w:cs="Times New Roman"/>
          <w:szCs w:val="24"/>
        </w:rPr>
        <w:t xml:space="preserve">III-F-8:  Experiments not posing significant risk to health or the environment, as determined by the NIH Director, and are described in </w:t>
      </w:r>
      <w:hyperlink r:id="rId28" w:anchor="_Toc446948398" w:history="1">
        <w:r w:rsidRPr="00D02E5D">
          <w:rPr>
            <w:rStyle w:val="Hyperlink"/>
            <w:rFonts w:cs="Times New Roman"/>
            <w:b/>
            <w:i/>
            <w:szCs w:val="24"/>
          </w:rPr>
          <w:t>Appendix C</w:t>
        </w:r>
        <w:r w:rsidRPr="00D02E5D">
          <w:rPr>
            <w:rStyle w:val="Hyperlink"/>
            <w:rFonts w:cs="Times New Roman"/>
            <w:szCs w:val="24"/>
          </w:rPr>
          <w:t xml:space="preserve"> of the</w:t>
        </w:r>
        <w:r w:rsidRPr="00D02E5D">
          <w:rPr>
            <w:rStyle w:val="Hyperlink"/>
            <w:rFonts w:cs="Times New Roman"/>
            <w:szCs w:val="24"/>
          </w:rPr>
          <w:t xml:space="preserve"> NIH Guidelines</w:t>
        </w:r>
      </w:hyperlink>
      <w:r w:rsidRPr="00305E69">
        <w:rPr>
          <w:rFonts w:cs="Times New Roman"/>
          <w:szCs w:val="24"/>
        </w:rPr>
        <w:t>:</w:t>
      </w:r>
    </w:p>
    <w:p w14:paraId="4D89B7EB" w14:textId="3118BED0" w:rsidR="004F34D4" w:rsidRPr="00D629FF" w:rsidRDefault="004F34D4" w:rsidP="00BE41CE">
      <w:pPr>
        <w:pStyle w:val="ListParagraph"/>
        <w:numPr>
          <w:ilvl w:val="1"/>
          <w:numId w:val="33"/>
        </w:numPr>
        <w:spacing w:after="0" w:line="390" w:lineRule="atLeast"/>
        <w:textAlignment w:val="baseline"/>
        <w:rPr>
          <w:rFonts w:cs="Times New Roman"/>
          <w:szCs w:val="24"/>
        </w:rPr>
      </w:pPr>
      <w:r w:rsidRPr="00DA6FC1">
        <w:rPr>
          <w:rFonts w:cs="Times New Roman"/>
          <w:b/>
          <w:i/>
          <w:szCs w:val="24"/>
        </w:rPr>
        <w:t>Appendix C</w:t>
      </w:r>
      <w:r w:rsidRPr="00DA6FC1">
        <w:rPr>
          <w:rFonts w:cs="Times New Roman"/>
          <w:i/>
          <w:szCs w:val="24"/>
        </w:rPr>
        <w:t xml:space="preserve"> </w:t>
      </w:r>
      <w:r w:rsidRPr="00DA6FC1">
        <w:rPr>
          <w:rFonts w:cs="Times New Roman"/>
          <w:szCs w:val="24"/>
        </w:rPr>
        <w:t>Reference</w:t>
      </w:r>
      <w:r w:rsidR="00D629FF" w:rsidRPr="00D629FF">
        <w:rPr>
          <w:rFonts w:cs="Times New Roman"/>
          <w:szCs w:val="24"/>
        </w:rPr>
        <w:t xml:space="preserve">: </w:t>
      </w:r>
      <w:r w:rsidRPr="00D629FF">
        <w:rPr>
          <w:rFonts w:cs="Times New Roman"/>
          <w:szCs w:val="24"/>
        </w:rPr>
        <w:br/>
        <w:t>C-I: Recombinant or Synthetic Nucleic Acid Molecules in Tissue Culture</w:t>
      </w:r>
      <w:r w:rsidRPr="00D629FF">
        <w:rPr>
          <w:rFonts w:cs="Times New Roman"/>
          <w:szCs w:val="24"/>
        </w:rPr>
        <w:br/>
        <w:t>C-II: E. coli K-12 Host-Vector Systems</w:t>
      </w:r>
      <w:r w:rsidRPr="00D629FF">
        <w:rPr>
          <w:rFonts w:cs="Times New Roman"/>
          <w:szCs w:val="24"/>
        </w:rPr>
        <w:br/>
        <w:t>C-III: Saccharomyces Host-Vector Systems</w:t>
      </w:r>
      <w:r w:rsidRPr="00D629FF">
        <w:rPr>
          <w:rFonts w:cs="Times New Roman"/>
          <w:szCs w:val="24"/>
        </w:rPr>
        <w:br/>
        <w:t>C-IV: Kluyveromyces Host-Vector Systems</w:t>
      </w:r>
      <w:r w:rsidRPr="00D629FF">
        <w:rPr>
          <w:rFonts w:cs="Times New Roman"/>
          <w:szCs w:val="24"/>
        </w:rPr>
        <w:br/>
        <w:t>C-V: Bacillus subtilis or Bacillus licheniformis Host-Vector Systems</w:t>
      </w:r>
      <w:r w:rsidRPr="00D629FF">
        <w:rPr>
          <w:rFonts w:cs="Times New Roman"/>
          <w:szCs w:val="24"/>
        </w:rPr>
        <w:br/>
      </w:r>
      <w:r w:rsidRPr="00D629FF">
        <w:rPr>
          <w:rFonts w:cs="Times New Roman"/>
          <w:szCs w:val="24"/>
        </w:rPr>
        <w:lastRenderedPageBreak/>
        <w:t>C-VI: Extrachromosomal Elements of Gram Positive Organisms</w:t>
      </w:r>
      <w:r w:rsidR="00754A56">
        <w:rPr>
          <w:rFonts w:cs="Times New Roman"/>
          <w:szCs w:val="24"/>
        </w:rPr>
        <w:t xml:space="preserve"> (see list in C-VI)</w:t>
      </w:r>
      <w:r w:rsidRPr="00D629FF">
        <w:rPr>
          <w:rFonts w:cs="Times New Roman"/>
          <w:szCs w:val="24"/>
        </w:rPr>
        <w:br/>
        <w:t>C-VII: The Purchase or Transfer of Transgenic Rodents</w:t>
      </w:r>
      <w:r w:rsidRPr="00D629FF">
        <w:rPr>
          <w:rFonts w:cs="Times New Roman"/>
          <w:szCs w:val="24"/>
        </w:rPr>
        <w:br/>
        <w:t>C-VIII: Generation of BL1 Transgenic Rodents via Breeding</w:t>
      </w:r>
    </w:p>
    <w:p w14:paraId="37618B76" w14:textId="77777777" w:rsidR="00D3176C" w:rsidRPr="00305E69" w:rsidRDefault="00D3176C" w:rsidP="00D3176C">
      <w:pPr>
        <w:spacing w:after="0" w:line="390" w:lineRule="atLeast"/>
        <w:textAlignment w:val="baseline"/>
        <w:rPr>
          <w:rFonts w:cs="Times New Roman"/>
          <w:szCs w:val="24"/>
        </w:rPr>
      </w:pPr>
    </w:p>
    <w:p w14:paraId="34300695" w14:textId="77777777" w:rsidR="004F34D4" w:rsidRPr="00305E69" w:rsidRDefault="004F34D4" w:rsidP="004F34D4">
      <w:pPr>
        <w:pStyle w:val="NormalWeb"/>
        <w:spacing w:before="0" w:beforeAutospacing="0" w:after="0" w:afterAutospacing="0"/>
        <w:textAlignment w:val="baseline"/>
      </w:pPr>
      <w:r w:rsidRPr="00305E69">
        <w:t>If activities involving recombinant or synthetic nucleic acid molecules are determined to be Exempt by the IBC Chair (or their designee),  the PI will be notified of the determination in writing.  All research using rDNA and/or synthetic nucleic acids must be registered with the Institutional Biosafety Committee even if it is deemed Exempt from </w:t>
      </w:r>
      <w:r w:rsidRPr="00305E69">
        <w:rPr>
          <w:rStyle w:val="Emphasis"/>
          <w:rFonts w:eastAsiaTheme="majorEastAsia"/>
          <w:bdr w:val="none" w:sz="0" w:space="0" w:color="auto" w:frame="1"/>
        </w:rPr>
        <w:t>NIH Guidelines.</w:t>
      </w:r>
    </w:p>
    <w:p w14:paraId="31795E5E" w14:textId="77777777" w:rsidR="004F34D4" w:rsidRPr="00305E69" w:rsidRDefault="004F34D4" w:rsidP="004F34D4">
      <w:pPr>
        <w:pStyle w:val="NormalWeb"/>
        <w:spacing w:before="0" w:beforeAutospacing="0" w:after="0" w:afterAutospacing="0"/>
        <w:textAlignment w:val="baseline"/>
      </w:pPr>
      <w:r w:rsidRPr="00305E69">
        <w:t> </w:t>
      </w:r>
    </w:p>
    <w:p w14:paraId="182606A1" w14:textId="77777777" w:rsidR="004F34D4" w:rsidRPr="00305E69" w:rsidRDefault="004F34D4" w:rsidP="004F34D4">
      <w:pPr>
        <w:pStyle w:val="NormalWeb"/>
        <w:spacing w:before="0" w:beforeAutospacing="0" w:after="0" w:afterAutospacing="0"/>
        <w:textAlignment w:val="baseline"/>
        <w:rPr>
          <w:u w:val="single"/>
        </w:rPr>
      </w:pPr>
      <w:r w:rsidRPr="00305E69">
        <w:rPr>
          <w:rStyle w:val="Strong"/>
          <w:rFonts w:eastAsiaTheme="majorEastAsia"/>
          <w:u w:val="single"/>
          <w:bdr w:val="none" w:sz="0" w:space="0" w:color="auto" w:frame="1"/>
        </w:rPr>
        <w:t>Non-Exempt Research</w:t>
      </w:r>
    </w:p>
    <w:p w14:paraId="05D91719" w14:textId="77777777" w:rsidR="004F34D4" w:rsidRPr="00305E69" w:rsidRDefault="004F34D4" w:rsidP="004F34D4">
      <w:pPr>
        <w:pStyle w:val="NormalWeb"/>
        <w:spacing w:before="0" w:beforeAutospacing="0" w:after="0" w:afterAutospacing="0"/>
        <w:textAlignment w:val="baseline"/>
      </w:pPr>
      <w:r w:rsidRPr="00305E69">
        <w:t>Projects that are considered Non-Exempt from the</w:t>
      </w:r>
      <w:r w:rsidRPr="00A96BCB">
        <w:rPr>
          <w:color w:val="444444"/>
        </w:rPr>
        <w:t> </w:t>
      </w:r>
      <w:hyperlink r:id="rId29" w:history="1">
        <w:r w:rsidRPr="00A96BCB">
          <w:rPr>
            <w:rStyle w:val="Emphasis"/>
            <w:rFonts w:eastAsiaTheme="majorEastAsia"/>
            <w:color w:val="0077AD"/>
            <w:bdr w:val="none" w:sz="0" w:space="0" w:color="auto" w:frame="1"/>
          </w:rPr>
          <w:t>NIH Guidelines</w:t>
        </w:r>
      </w:hyperlink>
      <w:r w:rsidRPr="00A96BCB">
        <w:rPr>
          <w:color w:val="444444"/>
        </w:rPr>
        <w:t> </w:t>
      </w:r>
      <w:r w:rsidRPr="00305E69">
        <w:t>are generally those that fall under </w:t>
      </w:r>
      <w:r w:rsidRPr="00305E69">
        <w:rPr>
          <w:rStyle w:val="Emphasis"/>
          <w:rFonts w:eastAsiaTheme="majorEastAsia"/>
          <w:bdr w:val="none" w:sz="0" w:space="0" w:color="auto" w:frame="1"/>
        </w:rPr>
        <w:t>NIH Guidelines</w:t>
      </w:r>
      <w:r w:rsidRPr="00305E69">
        <w:t> Sections III-A through III-E.  All protocols that fall under these categories must be reviewed and acted on at a convened meeting of the committee.  Research activities that are non-exempt include:</w:t>
      </w:r>
    </w:p>
    <w:p w14:paraId="7457CDEE" w14:textId="77777777" w:rsidR="004F34D4" w:rsidRPr="00305E69" w:rsidRDefault="004F34D4" w:rsidP="000577F6">
      <w:pPr>
        <w:numPr>
          <w:ilvl w:val="0"/>
          <w:numId w:val="15"/>
        </w:numPr>
        <w:spacing w:after="0" w:line="390" w:lineRule="atLeast"/>
        <w:ind w:left="0"/>
        <w:textAlignment w:val="baseline"/>
        <w:rPr>
          <w:rFonts w:cs="Times New Roman"/>
          <w:szCs w:val="24"/>
        </w:rPr>
      </w:pPr>
      <w:r w:rsidRPr="00305E69">
        <w:rPr>
          <w:rFonts w:cs="Times New Roman"/>
          <w:szCs w:val="24"/>
        </w:rPr>
        <w:t>III-A-1: The deliberate transfer of a drug resistance trait to microorganisms that are not known to acquire that trait naturally, if such acquisition could compromise the use of the drug to control disease agents in humans, veterinary medicine, or agriculture.</w:t>
      </w:r>
    </w:p>
    <w:p w14:paraId="678417F9" w14:textId="77777777" w:rsidR="004F34D4" w:rsidRPr="00305E69" w:rsidRDefault="004F34D4" w:rsidP="000577F6">
      <w:pPr>
        <w:numPr>
          <w:ilvl w:val="0"/>
          <w:numId w:val="15"/>
        </w:numPr>
        <w:spacing w:after="0" w:line="390" w:lineRule="atLeast"/>
        <w:ind w:left="0"/>
        <w:textAlignment w:val="baseline"/>
        <w:rPr>
          <w:rFonts w:cs="Times New Roman"/>
          <w:szCs w:val="24"/>
        </w:rPr>
      </w:pPr>
      <w:r w:rsidRPr="00305E69">
        <w:rPr>
          <w:rFonts w:cs="Times New Roman"/>
          <w:szCs w:val="24"/>
        </w:rPr>
        <w:t>III-B-1:  Deliberate formation of rDNA containing genes for the biosynthesis of toxin molecules lethal for vertebrates at an LD50 of less than 100 nanograms per kilogram body weight.</w:t>
      </w:r>
    </w:p>
    <w:p w14:paraId="519896AE" w14:textId="77777777" w:rsidR="004F34D4" w:rsidRPr="00305E69" w:rsidRDefault="004F34D4" w:rsidP="000577F6">
      <w:pPr>
        <w:numPr>
          <w:ilvl w:val="0"/>
          <w:numId w:val="15"/>
        </w:numPr>
        <w:spacing w:after="0" w:line="390" w:lineRule="atLeast"/>
        <w:ind w:left="0"/>
        <w:textAlignment w:val="baseline"/>
        <w:rPr>
          <w:rFonts w:cs="Times New Roman"/>
          <w:szCs w:val="24"/>
        </w:rPr>
      </w:pPr>
      <w:r w:rsidRPr="00305E69">
        <w:rPr>
          <w:rFonts w:cs="Times New Roman"/>
          <w:szCs w:val="24"/>
        </w:rPr>
        <w:t>III-B-2:  Experiments that have been Approved (under Section III-A-1-a) as Major Actions under the NIH Guidelines and determined by NIH/OBA.</w:t>
      </w:r>
    </w:p>
    <w:p w14:paraId="65D96847" w14:textId="77777777" w:rsidR="004F34D4" w:rsidRPr="00305E69" w:rsidRDefault="004F34D4" w:rsidP="000577F6">
      <w:pPr>
        <w:numPr>
          <w:ilvl w:val="0"/>
          <w:numId w:val="15"/>
        </w:numPr>
        <w:spacing w:after="0" w:line="390" w:lineRule="atLeast"/>
        <w:ind w:left="0"/>
        <w:textAlignment w:val="baseline"/>
        <w:rPr>
          <w:rFonts w:cs="Times New Roman"/>
          <w:szCs w:val="24"/>
        </w:rPr>
      </w:pPr>
      <w:r w:rsidRPr="00305E69">
        <w:rPr>
          <w:rFonts w:cs="Times New Roman"/>
          <w:szCs w:val="24"/>
        </w:rPr>
        <w:t>III-C-1:  Experiments involving the Deliberate Transfer of Recombinant or Synthetic Nucleic Acid Molecules, or DNA or RNA Derived from Recombinant or Synthetic Nucleic Acid Molecules, into One or More Human Research Participants.</w:t>
      </w:r>
    </w:p>
    <w:p w14:paraId="6082482E" w14:textId="77777777" w:rsidR="001919D8" w:rsidRPr="00305E69" w:rsidRDefault="001919D8" w:rsidP="000577F6">
      <w:pPr>
        <w:numPr>
          <w:ilvl w:val="0"/>
          <w:numId w:val="20"/>
        </w:numPr>
        <w:spacing w:after="0" w:line="390" w:lineRule="atLeast"/>
        <w:ind w:left="0"/>
        <w:textAlignment w:val="baseline"/>
        <w:rPr>
          <w:rFonts w:eastAsia="Times New Roman" w:cs="Times New Roman"/>
          <w:szCs w:val="24"/>
        </w:rPr>
      </w:pPr>
      <w:r w:rsidRPr="00305E69">
        <w:rPr>
          <w:rFonts w:eastAsia="Times New Roman" w:cs="Times New Roman"/>
          <w:szCs w:val="24"/>
        </w:rPr>
        <w:t>III-D-1: Experiments using Risk Group 2, Risk Group 3, Risk Group 4, or Restricted Agents as Host-Vector Systems.</w:t>
      </w:r>
    </w:p>
    <w:p w14:paraId="0117E521" w14:textId="77777777" w:rsidR="001919D8" w:rsidRPr="00305E69" w:rsidRDefault="001919D8" w:rsidP="000577F6">
      <w:pPr>
        <w:numPr>
          <w:ilvl w:val="0"/>
          <w:numId w:val="20"/>
        </w:numPr>
        <w:spacing w:after="0" w:line="390" w:lineRule="atLeast"/>
        <w:ind w:left="0"/>
        <w:textAlignment w:val="baseline"/>
        <w:rPr>
          <w:rFonts w:eastAsia="Times New Roman" w:cs="Times New Roman"/>
          <w:szCs w:val="24"/>
        </w:rPr>
      </w:pPr>
      <w:r w:rsidRPr="00305E69">
        <w:rPr>
          <w:rFonts w:eastAsia="Times New Roman" w:cs="Times New Roman"/>
          <w:szCs w:val="24"/>
        </w:rPr>
        <w:t>III-D-2:  Experiments in which DNA from Risk Group 2, Risk Group 3, Risk Group 4, or Restricted Agents is Cloned into Nonpathogenic Prokaryotic or Lower Eukaryotic Host-Vector Systems.</w:t>
      </w:r>
    </w:p>
    <w:p w14:paraId="0CBDE35B" w14:textId="77777777" w:rsidR="001919D8" w:rsidRPr="00305E69" w:rsidRDefault="001919D8" w:rsidP="000577F6">
      <w:pPr>
        <w:numPr>
          <w:ilvl w:val="0"/>
          <w:numId w:val="20"/>
        </w:numPr>
        <w:spacing w:after="0" w:line="390" w:lineRule="atLeast"/>
        <w:ind w:left="0"/>
        <w:textAlignment w:val="baseline"/>
        <w:rPr>
          <w:rFonts w:eastAsia="Times New Roman" w:cs="Times New Roman"/>
          <w:szCs w:val="24"/>
        </w:rPr>
      </w:pPr>
      <w:r w:rsidRPr="00305E69">
        <w:rPr>
          <w:rFonts w:eastAsia="Times New Roman" w:cs="Times New Roman"/>
          <w:szCs w:val="24"/>
        </w:rPr>
        <w:t>III-D-3:  Experiments involving the Use of Infectious DNA or RNA Viruses or Defective DNA or RNA Viruses in the Presence of Helper Virus in Tissue Culture Systems</w:t>
      </w:r>
      <w:r w:rsidR="006229A0">
        <w:rPr>
          <w:rFonts w:eastAsia="Times New Roman" w:cs="Times New Roman"/>
          <w:szCs w:val="24"/>
        </w:rPr>
        <w:t>.</w:t>
      </w:r>
    </w:p>
    <w:p w14:paraId="6BC7CEA8" w14:textId="77777777" w:rsidR="001919D8" w:rsidRPr="00305E69" w:rsidRDefault="001919D8" w:rsidP="000577F6">
      <w:pPr>
        <w:numPr>
          <w:ilvl w:val="0"/>
          <w:numId w:val="20"/>
        </w:numPr>
        <w:spacing w:after="0" w:line="390" w:lineRule="atLeast"/>
        <w:ind w:left="0"/>
        <w:textAlignment w:val="baseline"/>
        <w:rPr>
          <w:rFonts w:eastAsia="Times New Roman" w:cs="Times New Roman"/>
          <w:szCs w:val="24"/>
        </w:rPr>
      </w:pPr>
      <w:r w:rsidRPr="00305E69">
        <w:rPr>
          <w:rFonts w:eastAsia="Times New Roman" w:cs="Times New Roman"/>
          <w:szCs w:val="24"/>
        </w:rPr>
        <w:t>III-D-4:  Stable introduction of rDNA into an animal genome or testing of rDNA-modified microorganisms in whole animals.</w:t>
      </w:r>
    </w:p>
    <w:p w14:paraId="6B4FFC00" w14:textId="77777777" w:rsidR="001919D8" w:rsidRPr="00305E69" w:rsidRDefault="001919D8" w:rsidP="000577F6">
      <w:pPr>
        <w:numPr>
          <w:ilvl w:val="0"/>
          <w:numId w:val="20"/>
        </w:numPr>
        <w:spacing w:after="0" w:line="390" w:lineRule="atLeast"/>
        <w:ind w:left="0"/>
        <w:textAlignment w:val="baseline"/>
        <w:rPr>
          <w:rFonts w:eastAsia="Times New Roman" w:cs="Times New Roman"/>
          <w:szCs w:val="24"/>
        </w:rPr>
      </w:pPr>
      <w:r w:rsidRPr="00305E69">
        <w:rPr>
          <w:rFonts w:eastAsia="Times New Roman" w:cs="Times New Roman"/>
          <w:szCs w:val="24"/>
        </w:rPr>
        <w:t>III-D-5:  Experiments to genetically engineer plants by rDNA methods, to use such plants for other experimental purposes (e.g., response to stress), to propagate such plants, or to use plants together with microorganisms or insects containing rDNA.</w:t>
      </w:r>
    </w:p>
    <w:p w14:paraId="7683830F" w14:textId="77777777" w:rsidR="001919D8" w:rsidRPr="00305E69" w:rsidRDefault="001919D8" w:rsidP="000577F6">
      <w:pPr>
        <w:numPr>
          <w:ilvl w:val="0"/>
          <w:numId w:val="20"/>
        </w:numPr>
        <w:spacing w:after="0" w:line="390" w:lineRule="atLeast"/>
        <w:ind w:left="0"/>
        <w:textAlignment w:val="baseline"/>
        <w:rPr>
          <w:rFonts w:eastAsia="Times New Roman" w:cs="Times New Roman"/>
          <w:szCs w:val="24"/>
        </w:rPr>
      </w:pPr>
      <w:r w:rsidRPr="00305E69">
        <w:rPr>
          <w:rFonts w:eastAsia="Times New Roman" w:cs="Times New Roman"/>
          <w:szCs w:val="24"/>
        </w:rPr>
        <w:lastRenderedPageBreak/>
        <w:t>III-D-6:  Experiments involving more than 10 Liters of Culture (in a single vessel)</w:t>
      </w:r>
    </w:p>
    <w:p w14:paraId="2E47C86B" w14:textId="77777777" w:rsidR="001919D8" w:rsidRPr="00305E69" w:rsidRDefault="001919D8" w:rsidP="000577F6">
      <w:pPr>
        <w:numPr>
          <w:ilvl w:val="0"/>
          <w:numId w:val="20"/>
        </w:numPr>
        <w:spacing w:after="0" w:line="390" w:lineRule="atLeast"/>
        <w:ind w:left="0"/>
        <w:textAlignment w:val="baseline"/>
        <w:rPr>
          <w:rFonts w:eastAsia="Times New Roman" w:cs="Times New Roman"/>
          <w:szCs w:val="24"/>
        </w:rPr>
      </w:pPr>
      <w:r w:rsidRPr="00305E69">
        <w:rPr>
          <w:rFonts w:eastAsia="Times New Roman" w:cs="Times New Roman"/>
          <w:szCs w:val="24"/>
        </w:rPr>
        <w:t>III-D-7:  Experiments involving Influenza Viruses</w:t>
      </w:r>
    </w:p>
    <w:p w14:paraId="12E06EFD" w14:textId="77777777" w:rsidR="001919D8" w:rsidRPr="00305E69" w:rsidRDefault="001919D8" w:rsidP="000577F6">
      <w:pPr>
        <w:numPr>
          <w:ilvl w:val="0"/>
          <w:numId w:val="20"/>
        </w:numPr>
        <w:spacing w:after="0" w:line="390" w:lineRule="atLeast"/>
        <w:ind w:left="0"/>
        <w:textAlignment w:val="baseline"/>
        <w:rPr>
          <w:rFonts w:eastAsia="Times New Roman" w:cs="Times New Roman"/>
          <w:szCs w:val="24"/>
        </w:rPr>
      </w:pPr>
      <w:r w:rsidRPr="00305E69">
        <w:rPr>
          <w:rFonts w:eastAsia="Times New Roman" w:cs="Times New Roman"/>
          <w:szCs w:val="24"/>
        </w:rPr>
        <w:t>III-E:  Experiments not included in Sections III-A, III-B, III-C, III-D, III-F and their subsections</w:t>
      </w:r>
    </w:p>
    <w:p w14:paraId="470EA9A4" w14:textId="77777777" w:rsidR="001919D8" w:rsidRPr="00305E69" w:rsidRDefault="001919D8" w:rsidP="000577F6">
      <w:pPr>
        <w:numPr>
          <w:ilvl w:val="0"/>
          <w:numId w:val="20"/>
        </w:numPr>
        <w:spacing w:after="0" w:line="390" w:lineRule="atLeast"/>
        <w:ind w:left="0"/>
        <w:textAlignment w:val="baseline"/>
        <w:rPr>
          <w:rFonts w:eastAsia="Times New Roman" w:cs="Times New Roman"/>
          <w:szCs w:val="24"/>
        </w:rPr>
      </w:pPr>
      <w:r w:rsidRPr="00305E69">
        <w:rPr>
          <w:rFonts w:eastAsia="Times New Roman" w:cs="Times New Roman"/>
          <w:szCs w:val="24"/>
        </w:rPr>
        <w:t>III-E-1:  Formation of rDNA molecules containing n</w:t>
      </w:r>
      <w:r w:rsidR="004A5BE1">
        <w:rPr>
          <w:rFonts w:eastAsia="Times New Roman" w:cs="Times New Roman"/>
          <w:szCs w:val="24"/>
        </w:rPr>
        <w:t>o more than tw</w:t>
      </w:r>
      <w:r w:rsidR="006229A0">
        <w:rPr>
          <w:rFonts w:eastAsia="Times New Roman" w:cs="Times New Roman"/>
          <w:szCs w:val="24"/>
        </w:rPr>
        <w:t xml:space="preserve">o-thirds </w:t>
      </w:r>
      <w:r w:rsidR="004A5BE1">
        <w:rPr>
          <w:rFonts w:eastAsia="Times New Roman" w:cs="Times New Roman"/>
          <w:szCs w:val="24"/>
        </w:rPr>
        <w:t>of the genome of any eukaryotic virus</w:t>
      </w:r>
    </w:p>
    <w:p w14:paraId="188EC83B" w14:textId="77777777" w:rsidR="001919D8" w:rsidRPr="00305E69" w:rsidRDefault="001919D8" w:rsidP="000577F6">
      <w:pPr>
        <w:numPr>
          <w:ilvl w:val="0"/>
          <w:numId w:val="20"/>
        </w:numPr>
        <w:spacing w:after="0" w:line="390" w:lineRule="atLeast"/>
        <w:ind w:left="0"/>
        <w:textAlignment w:val="baseline"/>
        <w:rPr>
          <w:rFonts w:eastAsia="Times New Roman" w:cs="Times New Roman"/>
          <w:szCs w:val="24"/>
        </w:rPr>
      </w:pPr>
      <w:r w:rsidRPr="00305E69">
        <w:rPr>
          <w:rFonts w:eastAsia="Times New Roman" w:cs="Times New Roman"/>
          <w:szCs w:val="24"/>
        </w:rPr>
        <w:t>III-E-2:  Experiments with genetically modified plants</w:t>
      </w:r>
    </w:p>
    <w:p w14:paraId="38A43622" w14:textId="77777777" w:rsidR="001919D8" w:rsidRPr="00305E69" w:rsidRDefault="001919D8" w:rsidP="000577F6">
      <w:pPr>
        <w:numPr>
          <w:ilvl w:val="0"/>
          <w:numId w:val="20"/>
        </w:numPr>
        <w:spacing w:after="0" w:line="390" w:lineRule="atLeast"/>
        <w:ind w:left="0"/>
        <w:textAlignment w:val="baseline"/>
        <w:rPr>
          <w:rFonts w:eastAsia="Times New Roman" w:cs="Times New Roman"/>
          <w:szCs w:val="24"/>
        </w:rPr>
      </w:pPr>
      <w:r w:rsidRPr="00305E69">
        <w:rPr>
          <w:rFonts w:eastAsia="Times New Roman" w:cs="Times New Roman"/>
          <w:szCs w:val="24"/>
        </w:rPr>
        <w:t>III-E-3:  Experiments involving the generation of transgenic rodents</w:t>
      </w:r>
    </w:p>
    <w:p w14:paraId="0EBD80C2" w14:textId="77777777" w:rsidR="00D7773D" w:rsidRPr="00305E69" w:rsidRDefault="00D7773D" w:rsidP="00D7773D">
      <w:pPr>
        <w:spacing w:after="0" w:line="390" w:lineRule="atLeast"/>
        <w:textAlignment w:val="baseline"/>
        <w:rPr>
          <w:rFonts w:eastAsia="Times New Roman" w:cs="Times New Roman"/>
          <w:szCs w:val="24"/>
        </w:rPr>
      </w:pPr>
    </w:p>
    <w:p w14:paraId="1701541E" w14:textId="77777777" w:rsidR="001919D8" w:rsidRPr="00AF04A6" w:rsidRDefault="001919D8" w:rsidP="001919D8"/>
    <w:p w14:paraId="2904BADF" w14:textId="77777777" w:rsidR="0049291D" w:rsidRPr="00305E69" w:rsidRDefault="0049291D" w:rsidP="0049291D"/>
    <w:sectPr w:rsidR="0049291D" w:rsidRPr="00305E69" w:rsidSect="005B143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D6CAE" w16cid:durableId="1D2E10EB"/>
  <w16cid:commentId w16cid:paraId="69876987" w16cid:durableId="1D2E145A"/>
  <w16cid:commentId w16cid:paraId="4E80A6F2" w16cid:durableId="1D2E10EC"/>
  <w16cid:commentId w16cid:paraId="6894180B" w16cid:durableId="1D2E18FB"/>
  <w16cid:commentId w16cid:paraId="5D1C4BAB" w16cid:durableId="1D2E1960"/>
  <w16cid:commentId w16cid:paraId="0A7B1870" w16cid:durableId="1D2E10ED"/>
  <w16cid:commentId w16cid:paraId="24C6B1C9" w16cid:durableId="1D2E10EE"/>
  <w16cid:commentId w16cid:paraId="44DD3626" w16cid:durableId="1D2E10EF"/>
  <w16cid:commentId w16cid:paraId="55EBADEF" w16cid:durableId="1D2E10F0"/>
  <w16cid:commentId w16cid:paraId="468F6550" w16cid:durableId="1D2E2055"/>
  <w16cid:commentId w16cid:paraId="69070570" w16cid:durableId="1D336D08"/>
  <w16cid:commentId w16cid:paraId="2DF407BA" w16cid:durableId="1D2E10F1"/>
  <w16cid:commentId w16cid:paraId="64FFB0EF" w16cid:durableId="1D33601C"/>
  <w16cid:commentId w16cid:paraId="77CD836B" w16cid:durableId="1D336D25"/>
  <w16cid:commentId w16cid:paraId="2BF3EAF0" w16cid:durableId="1D2E10F2"/>
  <w16cid:commentId w16cid:paraId="290314BD" w16cid:durableId="1D2E10F3"/>
  <w16cid:commentId w16cid:paraId="1DD1B56D" w16cid:durableId="1D336E20"/>
  <w16cid:commentId w16cid:paraId="660C97AB" w16cid:durableId="1D2E10F4"/>
  <w16cid:commentId w16cid:paraId="16B92322" w16cid:durableId="1D336F18"/>
  <w16cid:commentId w16cid:paraId="7AD12576" w16cid:durableId="1D336F63"/>
  <w16cid:commentId w16cid:paraId="4D58F702" w16cid:durableId="1D2E10F5"/>
  <w16cid:commentId w16cid:paraId="263C6F66" w16cid:durableId="1D336FA7"/>
  <w16cid:commentId w16cid:paraId="3E9EB134" w16cid:durableId="1D2E10F6"/>
  <w16cid:commentId w16cid:paraId="74DD0D7C" w16cid:durableId="1D3370FD"/>
  <w16cid:commentId w16cid:paraId="63DB6BD9" w16cid:durableId="1D3371B6"/>
  <w16cid:commentId w16cid:paraId="3268F143" w16cid:durableId="1D2E10F7"/>
  <w16cid:commentId w16cid:paraId="10210EA4" w16cid:durableId="1D337246"/>
  <w16cid:commentId w16cid:paraId="1A8B21B8" w16cid:durableId="1D2E10F8"/>
  <w16cid:commentId w16cid:paraId="3454D610" w16cid:durableId="1D3371FD"/>
  <w16cid:commentId w16cid:paraId="76DC4FE1" w16cid:durableId="1D2E10F9"/>
  <w16cid:commentId w16cid:paraId="0E96B51F" w16cid:durableId="1D337333"/>
  <w16cid:commentId w16cid:paraId="6D32D688" w16cid:durableId="1D2E10FA"/>
  <w16cid:commentId w16cid:paraId="3A374E88" w16cid:durableId="1D337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CD21F" w14:textId="77777777" w:rsidR="006B36CA" w:rsidRDefault="006B36CA" w:rsidP="00727CC0">
      <w:pPr>
        <w:spacing w:after="0" w:line="240" w:lineRule="auto"/>
      </w:pPr>
      <w:r>
        <w:separator/>
      </w:r>
    </w:p>
  </w:endnote>
  <w:endnote w:type="continuationSeparator" w:id="0">
    <w:p w14:paraId="34EF46FB" w14:textId="77777777" w:rsidR="006B36CA" w:rsidRDefault="006B36CA" w:rsidP="0072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CF988" w14:textId="77777777" w:rsidR="006B36CA" w:rsidRDefault="006B36CA" w:rsidP="00727CC0">
      <w:pPr>
        <w:spacing w:after="0" w:line="240" w:lineRule="auto"/>
      </w:pPr>
      <w:r>
        <w:separator/>
      </w:r>
    </w:p>
  </w:footnote>
  <w:footnote w:type="continuationSeparator" w:id="0">
    <w:p w14:paraId="068D7D1C" w14:textId="77777777" w:rsidR="006B36CA" w:rsidRDefault="006B36CA" w:rsidP="00727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6F6F"/>
    <w:multiLevelType w:val="hybridMultilevel"/>
    <w:tmpl w:val="44B64B3A"/>
    <w:lvl w:ilvl="0" w:tplc="07BE6746">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53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1514"/>
    <w:multiLevelType w:val="hybridMultilevel"/>
    <w:tmpl w:val="9CD64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0EB"/>
    <w:multiLevelType w:val="hybridMultilevel"/>
    <w:tmpl w:val="7C38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75DF"/>
    <w:multiLevelType w:val="multilevel"/>
    <w:tmpl w:val="5E007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D5AB5"/>
    <w:multiLevelType w:val="hybridMultilevel"/>
    <w:tmpl w:val="17BE1B94"/>
    <w:lvl w:ilvl="0" w:tplc="86B655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772F2"/>
    <w:multiLevelType w:val="hybridMultilevel"/>
    <w:tmpl w:val="B81A50AC"/>
    <w:lvl w:ilvl="0" w:tplc="A434D1F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B509D"/>
    <w:multiLevelType w:val="hybridMultilevel"/>
    <w:tmpl w:val="BE7A07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247CCC"/>
    <w:multiLevelType w:val="hybridMultilevel"/>
    <w:tmpl w:val="F8708EC2"/>
    <w:lvl w:ilvl="0" w:tplc="0DF48DD8">
      <w:start w:val="1"/>
      <w:numFmt w:val="decimal"/>
      <w:lvlText w:val="%1."/>
      <w:lvlJc w:val="left"/>
      <w:pPr>
        <w:ind w:left="630" w:hanging="360"/>
      </w:pPr>
      <w:rPr>
        <w:rFonts w:hint="default"/>
        <w:b w:val="0"/>
        <w:u w:val="none"/>
      </w:rPr>
    </w:lvl>
    <w:lvl w:ilvl="1" w:tplc="B9A47EF4">
      <w:start w:val="1"/>
      <w:numFmt w:val="lowerLetter"/>
      <w:lvlText w:val="%2."/>
      <w:lvlJc w:val="left"/>
      <w:pPr>
        <w:ind w:left="1260" w:hanging="360"/>
      </w:pPr>
      <w:rPr>
        <w:b w:val="0"/>
      </w:rPr>
    </w:lvl>
    <w:lvl w:ilvl="2" w:tplc="0C9C3F46">
      <w:start w:val="3"/>
      <w:numFmt w:val="upperLetter"/>
      <w:lvlText w:val="%3)"/>
      <w:lvlJc w:val="left"/>
      <w:pPr>
        <w:ind w:left="2250" w:hanging="360"/>
      </w:pPr>
      <w:rPr>
        <w:rFonts w:hint="default"/>
      </w:rPr>
    </w:lvl>
    <w:lvl w:ilvl="3" w:tplc="0C682D78">
      <w:start w:val="3"/>
      <w:numFmt w:val="upperLetter"/>
      <w:lvlText w:val="%4."/>
      <w:lvlJc w:val="left"/>
      <w:pPr>
        <w:ind w:left="270" w:hanging="360"/>
      </w:pPr>
      <w:rPr>
        <w:rFonts w:hint="default"/>
        <w:b/>
      </w:rPr>
    </w:lvl>
    <w:lvl w:ilvl="4" w:tplc="8EB4FBBE">
      <w:start w:val="1"/>
      <w:numFmt w:val="lowerRoman"/>
      <w:lvlText w:val="%5."/>
      <w:lvlJc w:val="left"/>
      <w:pPr>
        <w:ind w:left="2160" w:hanging="360"/>
      </w:pPr>
      <w:rPr>
        <w:rFonts w:ascii="Times New Roman" w:eastAsia="Times New Roman" w:hAnsi="Times New Roman" w:cs="Times New Roman"/>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596315C"/>
    <w:multiLevelType w:val="multilevel"/>
    <w:tmpl w:val="A558D2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7B634EA"/>
    <w:multiLevelType w:val="hybridMultilevel"/>
    <w:tmpl w:val="C3844E3E"/>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D70A88"/>
    <w:multiLevelType w:val="hybridMultilevel"/>
    <w:tmpl w:val="5CEC2A92"/>
    <w:lvl w:ilvl="0" w:tplc="DB585538">
      <w:start w:val="8"/>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D2BBF"/>
    <w:multiLevelType w:val="hybridMultilevel"/>
    <w:tmpl w:val="EBFA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92FC5"/>
    <w:multiLevelType w:val="hybridMultilevel"/>
    <w:tmpl w:val="4796C600"/>
    <w:lvl w:ilvl="0" w:tplc="0409000F">
      <w:start w:val="1"/>
      <w:numFmt w:val="decimal"/>
      <w:lvlText w:val="%1."/>
      <w:lvlJc w:val="left"/>
      <w:pPr>
        <w:ind w:left="720" w:hanging="360"/>
      </w:pPr>
    </w:lvl>
    <w:lvl w:ilvl="1" w:tplc="8896766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6687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37C3042D"/>
    <w:multiLevelType w:val="multilevel"/>
    <w:tmpl w:val="A05E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DB6B4F"/>
    <w:multiLevelType w:val="hybridMultilevel"/>
    <w:tmpl w:val="8B06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D58AA"/>
    <w:multiLevelType w:val="multilevel"/>
    <w:tmpl w:val="6F2E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C127A0"/>
    <w:multiLevelType w:val="hybridMultilevel"/>
    <w:tmpl w:val="E4BA43F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0C80814"/>
    <w:multiLevelType w:val="hybridMultilevel"/>
    <w:tmpl w:val="45F8CF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704A10"/>
    <w:multiLevelType w:val="hybridMultilevel"/>
    <w:tmpl w:val="2A0C698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DF15E31"/>
    <w:multiLevelType w:val="hybridMultilevel"/>
    <w:tmpl w:val="97F03E1A"/>
    <w:lvl w:ilvl="0" w:tplc="DB585538">
      <w:start w:val="8"/>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52615"/>
    <w:multiLevelType w:val="hybridMultilevel"/>
    <w:tmpl w:val="74A69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FB6DCB"/>
    <w:multiLevelType w:val="hybridMultilevel"/>
    <w:tmpl w:val="03484FBC"/>
    <w:lvl w:ilvl="0" w:tplc="643CB766">
      <w:start w:val="1"/>
      <w:numFmt w:val="lowerLetter"/>
      <w:lvlText w:val="%1."/>
      <w:lvlJc w:val="right"/>
      <w:pPr>
        <w:ind w:left="1170" w:hanging="360"/>
      </w:pPr>
      <w:rPr>
        <w:rFonts w:ascii="Times New Roman" w:eastAsiaTheme="minorHAnsi" w:hAnsi="Times New Roman" w:cstheme="minorBidi"/>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17B2E5B"/>
    <w:multiLevelType w:val="hybridMultilevel"/>
    <w:tmpl w:val="16FAD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B4D1F"/>
    <w:multiLevelType w:val="hybridMultilevel"/>
    <w:tmpl w:val="207C9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11EB1"/>
    <w:multiLevelType w:val="multilevel"/>
    <w:tmpl w:val="311A3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9127E0"/>
    <w:multiLevelType w:val="multilevel"/>
    <w:tmpl w:val="0E924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BD0DA7"/>
    <w:multiLevelType w:val="hybridMultilevel"/>
    <w:tmpl w:val="AFBEA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E7B84"/>
    <w:multiLevelType w:val="multilevel"/>
    <w:tmpl w:val="B036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3E7ADE"/>
    <w:multiLevelType w:val="hybridMultilevel"/>
    <w:tmpl w:val="BDD418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19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85F8B"/>
    <w:multiLevelType w:val="hybridMultilevel"/>
    <w:tmpl w:val="2CDA13B2"/>
    <w:lvl w:ilvl="0" w:tplc="DB585538">
      <w:start w:val="8"/>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A0B64"/>
    <w:multiLevelType w:val="hybridMultilevel"/>
    <w:tmpl w:val="75E69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DE35C5"/>
    <w:multiLevelType w:val="hybridMultilevel"/>
    <w:tmpl w:val="F524F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9"/>
  </w:num>
  <w:num w:numId="4">
    <w:abstractNumId w:val="22"/>
  </w:num>
  <w:num w:numId="5">
    <w:abstractNumId w:val="30"/>
  </w:num>
  <w:num w:numId="6">
    <w:abstractNumId w:val="5"/>
  </w:num>
  <w:num w:numId="7">
    <w:abstractNumId w:val="29"/>
  </w:num>
  <w:num w:numId="8">
    <w:abstractNumId w:val="0"/>
  </w:num>
  <w:num w:numId="9">
    <w:abstractNumId w:val="12"/>
  </w:num>
  <w:num w:numId="10">
    <w:abstractNumId w:val="20"/>
  </w:num>
  <w:num w:numId="11">
    <w:abstractNumId w:val="10"/>
  </w:num>
  <w:num w:numId="12">
    <w:abstractNumId w:val="6"/>
  </w:num>
  <w:num w:numId="13">
    <w:abstractNumId w:val="23"/>
  </w:num>
  <w:num w:numId="14">
    <w:abstractNumId w:val="25"/>
  </w:num>
  <w:num w:numId="15">
    <w:abstractNumId w:val="28"/>
  </w:num>
  <w:num w:numId="16">
    <w:abstractNumId w:val="3"/>
  </w:num>
  <w:num w:numId="17">
    <w:abstractNumId w:val="8"/>
  </w:num>
  <w:num w:numId="18">
    <w:abstractNumId w:val="14"/>
  </w:num>
  <w:num w:numId="19">
    <w:abstractNumId w:val="21"/>
  </w:num>
  <w:num w:numId="20">
    <w:abstractNumId w:val="16"/>
  </w:num>
  <w:num w:numId="21">
    <w:abstractNumId w:val="7"/>
  </w:num>
  <w:num w:numId="22">
    <w:abstractNumId w:val="32"/>
  </w:num>
  <w:num w:numId="23">
    <w:abstractNumId w:val="2"/>
  </w:num>
  <w:num w:numId="24">
    <w:abstractNumId w:val="31"/>
  </w:num>
  <w:num w:numId="25">
    <w:abstractNumId w:val="19"/>
  </w:num>
  <w:num w:numId="26">
    <w:abstractNumId w:val="11"/>
  </w:num>
  <w:num w:numId="27">
    <w:abstractNumId w:val="27"/>
  </w:num>
  <w:num w:numId="28">
    <w:abstractNumId w:val="24"/>
  </w:num>
  <w:num w:numId="29">
    <w:abstractNumId w:val="4"/>
  </w:num>
  <w:num w:numId="30">
    <w:abstractNumId w:val="15"/>
  </w:num>
  <w:num w:numId="31">
    <w:abstractNumId w:val="1"/>
  </w:num>
  <w:num w:numId="32">
    <w:abstractNumId w:val="17"/>
  </w:num>
  <w:num w:numId="33">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41"/>
    <w:rsid w:val="000006DD"/>
    <w:rsid w:val="0000155C"/>
    <w:rsid w:val="0000549D"/>
    <w:rsid w:val="00005650"/>
    <w:rsid w:val="00007063"/>
    <w:rsid w:val="00010912"/>
    <w:rsid w:val="00012C6D"/>
    <w:rsid w:val="00013817"/>
    <w:rsid w:val="0001417B"/>
    <w:rsid w:val="00014901"/>
    <w:rsid w:val="00017514"/>
    <w:rsid w:val="00027EA8"/>
    <w:rsid w:val="00030DA5"/>
    <w:rsid w:val="00031EAB"/>
    <w:rsid w:val="000345ED"/>
    <w:rsid w:val="000405A5"/>
    <w:rsid w:val="00047438"/>
    <w:rsid w:val="000577F6"/>
    <w:rsid w:val="00060772"/>
    <w:rsid w:val="00060B95"/>
    <w:rsid w:val="00063B4A"/>
    <w:rsid w:val="00070599"/>
    <w:rsid w:val="000713C9"/>
    <w:rsid w:val="0007236B"/>
    <w:rsid w:val="000756B6"/>
    <w:rsid w:val="000759A5"/>
    <w:rsid w:val="00075C58"/>
    <w:rsid w:val="000822F1"/>
    <w:rsid w:val="00084E61"/>
    <w:rsid w:val="0008695C"/>
    <w:rsid w:val="0008701E"/>
    <w:rsid w:val="000879C0"/>
    <w:rsid w:val="0009096A"/>
    <w:rsid w:val="00090DE4"/>
    <w:rsid w:val="000978BC"/>
    <w:rsid w:val="000A0103"/>
    <w:rsid w:val="000A1461"/>
    <w:rsid w:val="000A3475"/>
    <w:rsid w:val="000A5153"/>
    <w:rsid w:val="000A78DF"/>
    <w:rsid w:val="000B2804"/>
    <w:rsid w:val="000B2828"/>
    <w:rsid w:val="000B5570"/>
    <w:rsid w:val="000B6273"/>
    <w:rsid w:val="000C0DCC"/>
    <w:rsid w:val="000C1A08"/>
    <w:rsid w:val="000C40B5"/>
    <w:rsid w:val="000C5BF0"/>
    <w:rsid w:val="000D0534"/>
    <w:rsid w:val="000D1A73"/>
    <w:rsid w:val="000D1B6B"/>
    <w:rsid w:val="000D3376"/>
    <w:rsid w:val="000D3A8C"/>
    <w:rsid w:val="000D6827"/>
    <w:rsid w:val="000E0F2D"/>
    <w:rsid w:val="000E2AD8"/>
    <w:rsid w:val="000E533D"/>
    <w:rsid w:val="000E57B9"/>
    <w:rsid w:val="000F102C"/>
    <w:rsid w:val="000F1C0C"/>
    <w:rsid w:val="000F3C5B"/>
    <w:rsid w:val="000F580D"/>
    <w:rsid w:val="001002F9"/>
    <w:rsid w:val="00101169"/>
    <w:rsid w:val="00104A54"/>
    <w:rsid w:val="00105DC4"/>
    <w:rsid w:val="00113560"/>
    <w:rsid w:val="001245C2"/>
    <w:rsid w:val="00124908"/>
    <w:rsid w:val="001279EE"/>
    <w:rsid w:val="001327F3"/>
    <w:rsid w:val="00143002"/>
    <w:rsid w:val="00143F1D"/>
    <w:rsid w:val="001518EE"/>
    <w:rsid w:val="00154DC8"/>
    <w:rsid w:val="0015775F"/>
    <w:rsid w:val="00161490"/>
    <w:rsid w:val="00167D93"/>
    <w:rsid w:val="00173957"/>
    <w:rsid w:val="00173F56"/>
    <w:rsid w:val="001744DB"/>
    <w:rsid w:val="00181303"/>
    <w:rsid w:val="001852CF"/>
    <w:rsid w:val="00185F82"/>
    <w:rsid w:val="001919D8"/>
    <w:rsid w:val="00193EBA"/>
    <w:rsid w:val="00194ECE"/>
    <w:rsid w:val="00196E8E"/>
    <w:rsid w:val="001979C9"/>
    <w:rsid w:val="001A0857"/>
    <w:rsid w:val="001A147F"/>
    <w:rsid w:val="001A3D3C"/>
    <w:rsid w:val="001A4E68"/>
    <w:rsid w:val="001B09BD"/>
    <w:rsid w:val="001B0B01"/>
    <w:rsid w:val="001B69C7"/>
    <w:rsid w:val="001C5988"/>
    <w:rsid w:val="001D13D0"/>
    <w:rsid w:val="001D4FAD"/>
    <w:rsid w:val="001D61B3"/>
    <w:rsid w:val="001D6938"/>
    <w:rsid w:val="001D6A4F"/>
    <w:rsid w:val="001E36AE"/>
    <w:rsid w:val="001E49A6"/>
    <w:rsid w:val="001E656B"/>
    <w:rsid w:val="001F2B63"/>
    <w:rsid w:val="001F2DE1"/>
    <w:rsid w:val="001F2EC4"/>
    <w:rsid w:val="001F37BF"/>
    <w:rsid w:val="00203F7F"/>
    <w:rsid w:val="00207A46"/>
    <w:rsid w:val="00207B37"/>
    <w:rsid w:val="00211D65"/>
    <w:rsid w:val="0021283E"/>
    <w:rsid w:val="002229DD"/>
    <w:rsid w:val="00222D12"/>
    <w:rsid w:val="0022482F"/>
    <w:rsid w:val="00225432"/>
    <w:rsid w:val="002277EE"/>
    <w:rsid w:val="002312FF"/>
    <w:rsid w:val="00231ACA"/>
    <w:rsid w:val="00237A8F"/>
    <w:rsid w:val="0024089E"/>
    <w:rsid w:val="00240A4A"/>
    <w:rsid w:val="00241D0B"/>
    <w:rsid w:val="0024258D"/>
    <w:rsid w:val="002425E8"/>
    <w:rsid w:val="00244CFC"/>
    <w:rsid w:val="00247DC5"/>
    <w:rsid w:val="00254F1E"/>
    <w:rsid w:val="002609FF"/>
    <w:rsid w:val="00260D36"/>
    <w:rsid w:val="00261C30"/>
    <w:rsid w:val="00262383"/>
    <w:rsid w:val="00264A95"/>
    <w:rsid w:val="002660CA"/>
    <w:rsid w:val="00266349"/>
    <w:rsid w:val="00270EF2"/>
    <w:rsid w:val="002741C8"/>
    <w:rsid w:val="00277CF9"/>
    <w:rsid w:val="00281338"/>
    <w:rsid w:val="00281F62"/>
    <w:rsid w:val="002820E6"/>
    <w:rsid w:val="002837B2"/>
    <w:rsid w:val="0028559F"/>
    <w:rsid w:val="00291745"/>
    <w:rsid w:val="00292685"/>
    <w:rsid w:val="00293446"/>
    <w:rsid w:val="00293778"/>
    <w:rsid w:val="0029537A"/>
    <w:rsid w:val="00295FA8"/>
    <w:rsid w:val="002B54A6"/>
    <w:rsid w:val="002B65C9"/>
    <w:rsid w:val="002B7C58"/>
    <w:rsid w:val="002C0B79"/>
    <w:rsid w:val="002C1507"/>
    <w:rsid w:val="002C1933"/>
    <w:rsid w:val="002C5CAF"/>
    <w:rsid w:val="002C724B"/>
    <w:rsid w:val="002D0690"/>
    <w:rsid w:val="002D654F"/>
    <w:rsid w:val="002D6678"/>
    <w:rsid w:val="002E0FC6"/>
    <w:rsid w:val="002E1B30"/>
    <w:rsid w:val="002E4ED0"/>
    <w:rsid w:val="002F0082"/>
    <w:rsid w:val="002F0868"/>
    <w:rsid w:val="002F1466"/>
    <w:rsid w:val="002F4259"/>
    <w:rsid w:val="002F796D"/>
    <w:rsid w:val="0030321A"/>
    <w:rsid w:val="00305808"/>
    <w:rsid w:val="00305E69"/>
    <w:rsid w:val="00305EC7"/>
    <w:rsid w:val="00306123"/>
    <w:rsid w:val="0031567D"/>
    <w:rsid w:val="00315680"/>
    <w:rsid w:val="00317269"/>
    <w:rsid w:val="00322A72"/>
    <w:rsid w:val="00322F95"/>
    <w:rsid w:val="003238B5"/>
    <w:rsid w:val="003245E3"/>
    <w:rsid w:val="00324833"/>
    <w:rsid w:val="00324955"/>
    <w:rsid w:val="0033019D"/>
    <w:rsid w:val="003325B8"/>
    <w:rsid w:val="003353D3"/>
    <w:rsid w:val="003357FB"/>
    <w:rsid w:val="00335EAB"/>
    <w:rsid w:val="0033621E"/>
    <w:rsid w:val="00340BD5"/>
    <w:rsid w:val="00351699"/>
    <w:rsid w:val="003557D8"/>
    <w:rsid w:val="00355D8A"/>
    <w:rsid w:val="00361E07"/>
    <w:rsid w:val="00363C44"/>
    <w:rsid w:val="00366A76"/>
    <w:rsid w:val="00374D4E"/>
    <w:rsid w:val="003758BF"/>
    <w:rsid w:val="0037724C"/>
    <w:rsid w:val="00377805"/>
    <w:rsid w:val="00381929"/>
    <w:rsid w:val="00382C96"/>
    <w:rsid w:val="00383EC4"/>
    <w:rsid w:val="00384BF4"/>
    <w:rsid w:val="003850B6"/>
    <w:rsid w:val="003860BE"/>
    <w:rsid w:val="003A0710"/>
    <w:rsid w:val="003A0E34"/>
    <w:rsid w:val="003A18E4"/>
    <w:rsid w:val="003A27FD"/>
    <w:rsid w:val="003A38E6"/>
    <w:rsid w:val="003B4845"/>
    <w:rsid w:val="003B57C5"/>
    <w:rsid w:val="003C02B9"/>
    <w:rsid w:val="003C112F"/>
    <w:rsid w:val="003C300F"/>
    <w:rsid w:val="003C5503"/>
    <w:rsid w:val="003D3CDB"/>
    <w:rsid w:val="003E1020"/>
    <w:rsid w:val="003E198A"/>
    <w:rsid w:val="003E4D5F"/>
    <w:rsid w:val="003F4EFB"/>
    <w:rsid w:val="00401953"/>
    <w:rsid w:val="00403103"/>
    <w:rsid w:val="00410BAE"/>
    <w:rsid w:val="004123A2"/>
    <w:rsid w:val="00414291"/>
    <w:rsid w:val="004167D6"/>
    <w:rsid w:val="004202E1"/>
    <w:rsid w:val="00421444"/>
    <w:rsid w:val="00421B96"/>
    <w:rsid w:val="00422A6F"/>
    <w:rsid w:val="00423EA6"/>
    <w:rsid w:val="0042457F"/>
    <w:rsid w:val="0042667C"/>
    <w:rsid w:val="004273AF"/>
    <w:rsid w:val="00427612"/>
    <w:rsid w:val="00432FCD"/>
    <w:rsid w:val="00434DD3"/>
    <w:rsid w:val="004366D6"/>
    <w:rsid w:val="00442D0A"/>
    <w:rsid w:val="00445015"/>
    <w:rsid w:val="00451A5F"/>
    <w:rsid w:val="004527ED"/>
    <w:rsid w:val="00453725"/>
    <w:rsid w:val="00455DC6"/>
    <w:rsid w:val="00456294"/>
    <w:rsid w:val="0046311C"/>
    <w:rsid w:val="00464AC3"/>
    <w:rsid w:val="004670C6"/>
    <w:rsid w:val="00477804"/>
    <w:rsid w:val="0048417F"/>
    <w:rsid w:val="00491503"/>
    <w:rsid w:val="0049197D"/>
    <w:rsid w:val="0049258D"/>
    <w:rsid w:val="0049291D"/>
    <w:rsid w:val="00493516"/>
    <w:rsid w:val="00497806"/>
    <w:rsid w:val="004A0917"/>
    <w:rsid w:val="004A3FBC"/>
    <w:rsid w:val="004A4574"/>
    <w:rsid w:val="004A545F"/>
    <w:rsid w:val="004A5BE1"/>
    <w:rsid w:val="004B1981"/>
    <w:rsid w:val="004B4543"/>
    <w:rsid w:val="004B533C"/>
    <w:rsid w:val="004C0029"/>
    <w:rsid w:val="004C4AC0"/>
    <w:rsid w:val="004C7964"/>
    <w:rsid w:val="004D7374"/>
    <w:rsid w:val="004E6958"/>
    <w:rsid w:val="004F2131"/>
    <w:rsid w:val="004F34D4"/>
    <w:rsid w:val="00504B86"/>
    <w:rsid w:val="005113C1"/>
    <w:rsid w:val="0051330C"/>
    <w:rsid w:val="00514975"/>
    <w:rsid w:val="00514C75"/>
    <w:rsid w:val="0051729C"/>
    <w:rsid w:val="0052458E"/>
    <w:rsid w:val="00524A19"/>
    <w:rsid w:val="00526699"/>
    <w:rsid w:val="005274BE"/>
    <w:rsid w:val="00527671"/>
    <w:rsid w:val="00527776"/>
    <w:rsid w:val="00533CD4"/>
    <w:rsid w:val="005352CF"/>
    <w:rsid w:val="00535938"/>
    <w:rsid w:val="00536569"/>
    <w:rsid w:val="00537D7A"/>
    <w:rsid w:val="005443A3"/>
    <w:rsid w:val="00544574"/>
    <w:rsid w:val="005460B7"/>
    <w:rsid w:val="00546134"/>
    <w:rsid w:val="00554268"/>
    <w:rsid w:val="00554745"/>
    <w:rsid w:val="0055545C"/>
    <w:rsid w:val="00561286"/>
    <w:rsid w:val="00563530"/>
    <w:rsid w:val="00563B38"/>
    <w:rsid w:val="0056567C"/>
    <w:rsid w:val="00565A46"/>
    <w:rsid w:val="00565A8E"/>
    <w:rsid w:val="00567ECE"/>
    <w:rsid w:val="00573272"/>
    <w:rsid w:val="005760B3"/>
    <w:rsid w:val="00581716"/>
    <w:rsid w:val="00583514"/>
    <w:rsid w:val="00584689"/>
    <w:rsid w:val="005926BE"/>
    <w:rsid w:val="00592B0C"/>
    <w:rsid w:val="00592DCA"/>
    <w:rsid w:val="00593207"/>
    <w:rsid w:val="00595939"/>
    <w:rsid w:val="0059756C"/>
    <w:rsid w:val="005A1522"/>
    <w:rsid w:val="005A1903"/>
    <w:rsid w:val="005A1B5F"/>
    <w:rsid w:val="005A67A8"/>
    <w:rsid w:val="005A6975"/>
    <w:rsid w:val="005B143C"/>
    <w:rsid w:val="005B284A"/>
    <w:rsid w:val="005B2DE7"/>
    <w:rsid w:val="005C20AD"/>
    <w:rsid w:val="005C249D"/>
    <w:rsid w:val="005C4A3C"/>
    <w:rsid w:val="005D0F6F"/>
    <w:rsid w:val="005D4F84"/>
    <w:rsid w:val="005D633A"/>
    <w:rsid w:val="005F174E"/>
    <w:rsid w:val="005F4965"/>
    <w:rsid w:val="00601027"/>
    <w:rsid w:val="00601783"/>
    <w:rsid w:val="00604199"/>
    <w:rsid w:val="00607A8E"/>
    <w:rsid w:val="0061206B"/>
    <w:rsid w:val="006126BE"/>
    <w:rsid w:val="00612B25"/>
    <w:rsid w:val="00613114"/>
    <w:rsid w:val="006133DA"/>
    <w:rsid w:val="00614290"/>
    <w:rsid w:val="00615269"/>
    <w:rsid w:val="00616C99"/>
    <w:rsid w:val="00617814"/>
    <w:rsid w:val="00621E2D"/>
    <w:rsid w:val="006229A0"/>
    <w:rsid w:val="00624FE0"/>
    <w:rsid w:val="006352DC"/>
    <w:rsid w:val="0063653D"/>
    <w:rsid w:val="00636A88"/>
    <w:rsid w:val="00637DA7"/>
    <w:rsid w:val="00640154"/>
    <w:rsid w:val="006402B2"/>
    <w:rsid w:val="006402C5"/>
    <w:rsid w:val="00644849"/>
    <w:rsid w:val="00652B34"/>
    <w:rsid w:val="00652E40"/>
    <w:rsid w:val="00652F48"/>
    <w:rsid w:val="00657228"/>
    <w:rsid w:val="00660761"/>
    <w:rsid w:val="00663646"/>
    <w:rsid w:val="00666C01"/>
    <w:rsid w:val="00670FE9"/>
    <w:rsid w:val="006716E1"/>
    <w:rsid w:val="0067216C"/>
    <w:rsid w:val="00672373"/>
    <w:rsid w:val="00672D22"/>
    <w:rsid w:val="0067390A"/>
    <w:rsid w:val="0068241B"/>
    <w:rsid w:val="00682BFF"/>
    <w:rsid w:val="00690F72"/>
    <w:rsid w:val="006A16B0"/>
    <w:rsid w:val="006A1853"/>
    <w:rsid w:val="006A3697"/>
    <w:rsid w:val="006A5DD0"/>
    <w:rsid w:val="006A73B8"/>
    <w:rsid w:val="006B0C81"/>
    <w:rsid w:val="006B1794"/>
    <w:rsid w:val="006B36CA"/>
    <w:rsid w:val="006C02EF"/>
    <w:rsid w:val="006C1C0C"/>
    <w:rsid w:val="006C3ADE"/>
    <w:rsid w:val="006C40F8"/>
    <w:rsid w:val="006C5F75"/>
    <w:rsid w:val="006C6650"/>
    <w:rsid w:val="006D0126"/>
    <w:rsid w:val="006E19F2"/>
    <w:rsid w:val="006E1F4A"/>
    <w:rsid w:val="006E5F63"/>
    <w:rsid w:val="006F1FC3"/>
    <w:rsid w:val="006F4175"/>
    <w:rsid w:val="006F6388"/>
    <w:rsid w:val="006F73F8"/>
    <w:rsid w:val="00701879"/>
    <w:rsid w:val="00702AF1"/>
    <w:rsid w:val="00705E08"/>
    <w:rsid w:val="00710313"/>
    <w:rsid w:val="00710FD1"/>
    <w:rsid w:val="00716B7C"/>
    <w:rsid w:val="00721AD5"/>
    <w:rsid w:val="00727CC0"/>
    <w:rsid w:val="007307F3"/>
    <w:rsid w:val="007361AB"/>
    <w:rsid w:val="0075203E"/>
    <w:rsid w:val="00754A56"/>
    <w:rsid w:val="007568A0"/>
    <w:rsid w:val="00763FDB"/>
    <w:rsid w:val="00770AA5"/>
    <w:rsid w:val="007736DD"/>
    <w:rsid w:val="00774D56"/>
    <w:rsid w:val="00776D64"/>
    <w:rsid w:val="00777137"/>
    <w:rsid w:val="0078066B"/>
    <w:rsid w:val="00780F1A"/>
    <w:rsid w:val="00781E22"/>
    <w:rsid w:val="007823A0"/>
    <w:rsid w:val="00783FBA"/>
    <w:rsid w:val="0078677C"/>
    <w:rsid w:val="007868CA"/>
    <w:rsid w:val="007938E3"/>
    <w:rsid w:val="007B1313"/>
    <w:rsid w:val="007B2479"/>
    <w:rsid w:val="007B6644"/>
    <w:rsid w:val="007C3D8E"/>
    <w:rsid w:val="007C4F26"/>
    <w:rsid w:val="007C5BFA"/>
    <w:rsid w:val="007D1E6D"/>
    <w:rsid w:val="007D2AAA"/>
    <w:rsid w:val="007D721E"/>
    <w:rsid w:val="007E26CA"/>
    <w:rsid w:val="007E408E"/>
    <w:rsid w:val="007E4908"/>
    <w:rsid w:val="007F17BE"/>
    <w:rsid w:val="007F5AE1"/>
    <w:rsid w:val="007F7B79"/>
    <w:rsid w:val="007F7D47"/>
    <w:rsid w:val="0080152A"/>
    <w:rsid w:val="0080349D"/>
    <w:rsid w:val="00803783"/>
    <w:rsid w:val="008066A6"/>
    <w:rsid w:val="0081153C"/>
    <w:rsid w:val="00812505"/>
    <w:rsid w:val="00816AD1"/>
    <w:rsid w:val="00831840"/>
    <w:rsid w:val="0083295A"/>
    <w:rsid w:val="0083605F"/>
    <w:rsid w:val="00837B2E"/>
    <w:rsid w:val="008423ED"/>
    <w:rsid w:val="00842AF5"/>
    <w:rsid w:val="00843A9A"/>
    <w:rsid w:val="00846C68"/>
    <w:rsid w:val="00850835"/>
    <w:rsid w:val="00852D76"/>
    <w:rsid w:val="008545B6"/>
    <w:rsid w:val="00857136"/>
    <w:rsid w:val="0085722B"/>
    <w:rsid w:val="00863288"/>
    <w:rsid w:val="00866FFC"/>
    <w:rsid w:val="0087178D"/>
    <w:rsid w:val="00872EAE"/>
    <w:rsid w:val="00873D8A"/>
    <w:rsid w:val="00877A54"/>
    <w:rsid w:val="008839C0"/>
    <w:rsid w:val="00884F89"/>
    <w:rsid w:val="00890F30"/>
    <w:rsid w:val="008934D2"/>
    <w:rsid w:val="00893A1F"/>
    <w:rsid w:val="008A1AF4"/>
    <w:rsid w:val="008A4BA9"/>
    <w:rsid w:val="008A6561"/>
    <w:rsid w:val="008B02CC"/>
    <w:rsid w:val="008B1A08"/>
    <w:rsid w:val="008B2617"/>
    <w:rsid w:val="008B2F5D"/>
    <w:rsid w:val="008B3729"/>
    <w:rsid w:val="008B45B1"/>
    <w:rsid w:val="008C10E8"/>
    <w:rsid w:val="008C4F95"/>
    <w:rsid w:val="008C5F89"/>
    <w:rsid w:val="008C7A58"/>
    <w:rsid w:val="008D36C8"/>
    <w:rsid w:val="008D5789"/>
    <w:rsid w:val="008D5CB1"/>
    <w:rsid w:val="008D701C"/>
    <w:rsid w:val="008E0231"/>
    <w:rsid w:val="008E204E"/>
    <w:rsid w:val="008E20B5"/>
    <w:rsid w:val="008E3372"/>
    <w:rsid w:val="008E34DB"/>
    <w:rsid w:val="008E5510"/>
    <w:rsid w:val="008E5848"/>
    <w:rsid w:val="008F567D"/>
    <w:rsid w:val="00907E31"/>
    <w:rsid w:val="00910F12"/>
    <w:rsid w:val="009202E5"/>
    <w:rsid w:val="0092074C"/>
    <w:rsid w:val="00921902"/>
    <w:rsid w:val="00921F03"/>
    <w:rsid w:val="009224C2"/>
    <w:rsid w:val="00922937"/>
    <w:rsid w:val="00923FD6"/>
    <w:rsid w:val="009247CE"/>
    <w:rsid w:val="00927AF5"/>
    <w:rsid w:val="00927F35"/>
    <w:rsid w:val="00930D52"/>
    <w:rsid w:val="009317F3"/>
    <w:rsid w:val="00937A9A"/>
    <w:rsid w:val="00940361"/>
    <w:rsid w:val="009419D0"/>
    <w:rsid w:val="00941FF1"/>
    <w:rsid w:val="0094472A"/>
    <w:rsid w:val="00944DB6"/>
    <w:rsid w:val="009461E5"/>
    <w:rsid w:val="00946DBB"/>
    <w:rsid w:val="00947BF9"/>
    <w:rsid w:val="009515F9"/>
    <w:rsid w:val="00960957"/>
    <w:rsid w:val="0096161C"/>
    <w:rsid w:val="00962646"/>
    <w:rsid w:val="00964738"/>
    <w:rsid w:val="00967636"/>
    <w:rsid w:val="00970869"/>
    <w:rsid w:val="00973651"/>
    <w:rsid w:val="00973B22"/>
    <w:rsid w:val="009770DD"/>
    <w:rsid w:val="009816DE"/>
    <w:rsid w:val="00982D85"/>
    <w:rsid w:val="00984602"/>
    <w:rsid w:val="009913B7"/>
    <w:rsid w:val="00992133"/>
    <w:rsid w:val="0099388F"/>
    <w:rsid w:val="009970E5"/>
    <w:rsid w:val="009A06FF"/>
    <w:rsid w:val="009A2BF6"/>
    <w:rsid w:val="009A46C8"/>
    <w:rsid w:val="009A4A3C"/>
    <w:rsid w:val="009B0429"/>
    <w:rsid w:val="009B1D69"/>
    <w:rsid w:val="009C1D08"/>
    <w:rsid w:val="009C4C17"/>
    <w:rsid w:val="009C547A"/>
    <w:rsid w:val="009C73EB"/>
    <w:rsid w:val="009C760E"/>
    <w:rsid w:val="009D63F2"/>
    <w:rsid w:val="009D6B41"/>
    <w:rsid w:val="009D6B75"/>
    <w:rsid w:val="009E4C45"/>
    <w:rsid w:val="009E5A2F"/>
    <w:rsid w:val="009E69AB"/>
    <w:rsid w:val="009F0B16"/>
    <w:rsid w:val="009F112F"/>
    <w:rsid w:val="009F7134"/>
    <w:rsid w:val="009F7D20"/>
    <w:rsid w:val="00A05EE0"/>
    <w:rsid w:val="00A132D7"/>
    <w:rsid w:val="00A1407D"/>
    <w:rsid w:val="00A163A4"/>
    <w:rsid w:val="00A25EA9"/>
    <w:rsid w:val="00A30305"/>
    <w:rsid w:val="00A30ACA"/>
    <w:rsid w:val="00A32B6F"/>
    <w:rsid w:val="00A359B6"/>
    <w:rsid w:val="00A40C4D"/>
    <w:rsid w:val="00A41C2A"/>
    <w:rsid w:val="00A41DF8"/>
    <w:rsid w:val="00A44C1C"/>
    <w:rsid w:val="00A546EA"/>
    <w:rsid w:val="00A60874"/>
    <w:rsid w:val="00A6250C"/>
    <w:rsid w:val="00A633E5"/>
    <w:rsid w:val="00A71C34"/>
    <w:rsid w:val="00A72D48"/>
    <w:rsid w:val="00A73AC8"/>
    <w:rsid w:val="00A74B76"/>
    <w:rsid w:val="00A76F19"/>
    <w:rsid w:val="00A77EE7"/>
    <w:rsid w:val="00A81FB6"/>
    <w:rsid w:val="00A83A9B"/>
    <w:rsid w:val="00A84B78"/>
    <w:rsid w:val="00A96296"/>
    <w:rsid w:val="00A96BCB"/>
    <w:rsid w:val="00AA59CB"/>
    <w:rsid w:val="00AA73FB"/>
    <w:rsid w:val="00AB0CA3"/>
    <w:rsid w:val="00AB6356"/>
    <w:rsid w:val="00AB7BAE"/>
    <w:rsid w:val="00AC50E2"/>
    <w:rsid w:val="00AC57D7"/>
    <w:rsid w:val="00AD1358"/>
    <w:rsid w:val="00AD383F"/>
    <w:rsid w:val="00AD6AC7"/>
    <w:rsid w:val="00AE3FC2"/>
    <w:rsid w:val="00AF04A6"/>
    <w:rsid w:val="00AF0C10"/>
    <w:rsid w:val="00AF21C6"/>
    <w:rsid w:val="00AF4AAF"/>
    <w:rsid w:val="00AF72C6"/>
    <w:rsid w:val="00AF7CB7"/>
    <w:rsid w:val="00AF7EC0"/>
    <w:rsid w:val="00B02E14"/>
    <w:rsid w:val="00B0487B"/>
    <w:rsid w:val="00B06C15"/>
    <w:rsid w:val="00B06F7E"/>
    <w:rsid w:val="00B12BB4"/>
    <w:rsid w:val="00B12EB8"/>
    <w:rsid w:val="00B12FB6"/>
    <w:rsid w:val="00B14461"/>
    <w:rsid w:val="00B152B5"/>
    <w:rsid w:val="00B156C9"/>
    <w:rsid w:val="00B16DB3"/>
    <w:rsid w:val="00B2133E"/>
    <w:rsid w:val="00B24B11"/>
    <w:rsid w:val="00B24B70"/>
    <w:rsid w:val="00B25C1A"/>
    <w:rsid w:val="00B2783B"/>
    <w:rsid w:val="00B27B1E"/>
    <w:rsid w:val="00B27B2D"/>
    <w:rsid w:val="00B323DC"/>
    <w:rsid w:val="00B41543"/>
    <w:rsid w:val="00B5316E"/>
    <w:rsid w:val="00B60B22"/>
    <w:rsid w:val="00B61757"/>
    <w:rsid w:val="00B67841"/>
    <w:rsid w:val="00B74E6A"/>
    <w:rsid w:val="00B81272"/>
    <w:rsid w:val="00B817D5"/>
    <w:rsid w:val="00B8388B"/>
    <w:rsid w:val="00B86399"/>
    <w:rsid w:val="00B878D9"/>
    <w:rsid w:val="00B91213"/>
    <w:rsid w:val="00B94318"/>
    <w:rsid w:val="00BA1293"/>
    <w:rsid w:val="00BA2B45"/>
    <w:rsid w:val="00BA4B96"/>
    <w:rsid w:val="00BA4DCF"/>
    <w:rsid w:val="00BA699A"/>
    <w:rsid w:val="00BA724B"/>
    <w:rsid w:val="00BB0794"/>
    <w:rsid w:val="00BB289C"/>
    <w:rsid w:val="00BB4510"/>
    <w:rsid w:val="00BB6824"/>
    <w:rsid w:val="00BC21D2"/>
    <w:rsid w:val="00BC51A6"/>
    <w:rsid w:val="00BC65C5"/>
    <w:rsid w:val="00BD0144"/>
    <w:rsid w:val="00BD038C"/>
    <w:rsid w:val="00BD0C15"/>
    <w:rsid w:val="00BD1C9B"/>
    <w:rsid w:val="00BE1515"/>
    <w:rsid w:val="00BE1990"/>
    <w:rsid w:val="00BE41CE"/>
    <w:rsid w:val="00BE4AA7"/>
    <w:rsid w:val="00BE52BB"/>
    <w:rsid w:val="00BF5097"/>
    <w:rsid w:val="00BF56C0"/>
    <w:rsid w:val="00BF77DE"/>
    <w:rsid w:val="00C05136"/>
    <w:rsid w:val="00C073E2"/>
    <w:rsid w:val="00C139D1"/>
    <w:rsid w:val="00C13B08"/>
    <w:rsid w:val="00C20732"/>
    <w:rsid w:val="00C20EE4"/>
    <w:rsid w:val="00C22657"/>
    <w:rsid w:val="00C22AAE"/>
    <w:rsid w:val="00C24335"/>
    <w:rsid w:val="00C244A1"/>
    <w:rsid w:val="00C25240"/>
    <w:rsid w:val="00C27B29"/>
    <w:rsid w:val="00C27C63"/>
    <w:rsid w:val="00C31269"/>
    <w:rsid w:val="00C33097"/>
    <w:rsid w:val="00C367DD"/>
    <w:rsid w:val="00C37E60"/>
    <w:rsid w:val="00C411CA"/>
    <w:rsid w:val="00C47B78"/>
    <w:rsid w:val="00C50DD8"/>
    <w:rsid w:val="00C56D0C"/>
    <w:rsid w:val="00C56E7F"/>
    <w:rsid w:val="00C62823"/>
    <w:rsid w:val="00C62F16"/>
    <w:rsid w:val="00C637C8"/>
    <w:rsid w:val="00C65359"/>
    <w:rsid w:val="00C7060B"/>
    <w:rsid w:val="00C7107B"/>
    <w:rsid w:val="00C72930"/>
    <w:rsid w:val="00C74F9C"/>
    <w:rsid w:val="00C75BB3"/>
    <w:rsid w:val="00C80C72"/>
    <w:rsid w:val="00C81119"/>
    <w:rsid w:val="00C878DE"/>
    <w:rsid w:val="00C91A7F"/>
    <w:rsid w:val="00C958B5"/>
    <w:rsid w:val="00CA16A3"/>
    <w:rsid w:val="00CA1848"/>
    <w:rsid w:val="00CA1893"/>
    <w:rsid w:val="00CA1EA5"/>
    <w:rsid w:val="00CA26BD"/>
    <w:rsid w:val="00CB32BA"/>
    <w:rsid w:val="00CB5DAF"/>
    <w:rsid w:val="00CC1DE7"/>
    <w:rsid w:val="00CC2973"/>
    <w:rsid w:val="00CC39C6"/>
    <w:rsid w:val="00CC4A5D"/>
    <w:rsid w:val="00CC6526"/>
    <w:rsid w:val="00CD2179"/>
    <w:rsid w:val="00CD31A3"/>
    <w:rsid w:val="00CD4215"/>
    <w:rsid w:val="00CD49EA"/>
    <w:rsid w:val="00CD4C8B"/>
    <w:rsid w:val="00CD53E0"/>
    <w:rsid w:val="00CD5FC8"/>
    <w:rsid w:val="00CE0295"/>
    <w:rsid w:val="00CE298C"/>
    <w:rsid w:val="00CE41CC"/>
    <w:rsid w:val="00CF140E"/>
    <w:rsid w:val="00CF53A1"/>
    <w:rsid w:val="00CF53C5"/>
    <w:rsid w:val="00D0019A"/>
    <w:rsid w:val="00D011D9"/>
    <w:rsid w:val="00D02E5D"/>
    <w:rsid w:val="00D065F0"/>
    <w:rsid w:val="00D06D35"/>
    <w:rsid w:val="00D11B7D"/>
    <w:rsid w:val="00D12963"/>
    <w:rsid w:val="00D14803"/>
    <w:rsid w:val="00D1706D"/>
    <w:rsid w:val="00D27417"/>
    <w:rsid w:val="00D2776F"/>
    <w:rsid w:val="00D3176C"/>
    <w:rsid w:val="00D409AC"/>
    <w:rsid w:val="00D46A83"/>
    <w:rsid w:val="00D46ADC"/>
    <w:rsid w:val="00D53FF4"/>
    <w:rsid w:val="00D5571B"/>
    <w:rsid w:val="00D626B4"/>
    <w:rsid w:val="00D629FF"/>
    <w:rsid w:val="00D66BC7"/>
    <w:rsid w:val="00D6774D"/>
    <w:rsid w:val="00D75672"/>
    <w:rsid w:val="00D760C7"/>
    <w:rsid w:val="00D7773D"/>
    <w:rsid w:val="00D80396"/>
    <w:rsid w:val="00D80B39"/>
    <w:rsid w:val="00D84312"/>
    <w:rsid w:val="00D8791E"/>
    <w:rsid w:val="00D90F2D"/>
    <w:rsid w:val="00D966D0"/>
    <w:rsid w:val="00DA4B4F"/>
    <w:rsid w:val="00DA693B"/>
    <w:rsid w:val="00DA6FC1"/>
    <w:rsid w:val="00DA7A8A"/>
    <w:rsid w:val="00DB1977"/>
    <w:rsid w:val="00DB2EFA"/>
    <w:rsid w:val="00DB571C"/>
    <w:rsid w:val="00DB7B60"/>
    <w:rsid w:val="00DC147C"/>
    <w:rsid w:val="00DC4CE3"/>
    <w:rsid w:val="00DD09FD"/>
    <w:rsid w:val="00DD15C8"/>
    <w:rsid w:val="00DD5A48"/>
    <w:rsid w:val="00DE2491"/>
    <w:rsid w:val="00DE4907"/>
    <w:rsid w:val="00DE4CB9"/>
    <w:rsid w:val="00DE5012"/>
    <w:rsid w:val="00DF0C1D"/>
    <w:rsid w:val="00DF180A"/>
    <w:rsid w:val="00DF5E72"/>
    <w:rsid w:val="00DF7941"/>
    <w:rsid w:val="00E024CE"/>
    <w:rsid w:val="00E03700"/>
    <w:rsid w:val="00E13E6F"/>
    <w:rsid w:val="00E145A0"/>
    <w:rsid w:val="00E273D7"/>
    <w:rsid w:val="00E276E3"/>
    <w:rsid w:val="00E277E2"/>
    <w:rsid w:val="00E3424E"/>
    <w:rsid w:val="00E40FC4"/>
    <w:rsid w:val="00E46C4D"/>
    <w:rsid w:val="00E526E0"/>
    <w:rsid w:val="00E5409C"/>
    <w:rsid w:val="00E54102"/>
    <w:rsid w:val="00E5446A"/>
    <w:rsid w:val="00E56A9A"/>
    <w:rsid w:val="00E57BD4"/>
    <w:rsid w:val="00E57F0C"/>
    <w:rsid w:val="00E60889"/>
    <w:rsid w:val="00E62CF4"/>
    <w:rsid w:val="00E62E21"/>
    <w:rsid w:val="00E6387E"/>
    <w:rsid w:val="00E64FAF"/>
    <w:rsid w:val="00E6741E"/>
    <w:rsid w:val="00E710F1"/>
    <w:rsid w:val="00E71179"/>
    <w:rsid w:val="00E72B09"/>
    <w:rsid w:val="00E7623F"/>
    <w:rsid w:val="00E80CEE"/>
    <w:rsid w:val="00E828B8"/>
    <w:rsid w:val="00E83B71"/>
    <w:rsid w:val="00E8525B"/>
    <w:rsid w:val="00E852E0"/>
    <w:rsid w:val="00E8724D"/>
    <w:rsid w:val="00E928F9"/>
    <w:rsid w:val="00E92B3B"/>
    <w:rsid w:val="00E92B41"/>
    <w:rsid w:val="00E9796F"/>
    <w:rsid w:val="00EA04EE"/>
    <w:rsid w:val="00EA0D84"/>
    <w:rsid w:val="00EB31FB"/>
    <w:rsid w:val="00EB727E"/>
    <w:rsid w:val="00EC1F36"/>
    <w:rsid w:val="00EC2A1F"/>
    <w:rsid w:val="00EC584B"/>
    <w:rsid w:val="00EC7802"/>
    <w:rsid w:val="00EC7FE4"/>
    <w:rsid w:val="00ED4250"/>
    <w:rsid w:val="00ED6FFC"/>
    <w:rsid w:val="00ED78BF"/>
    <w:rsid w:val="00EE1E2A"/>
    <w:rsid w:val="00EE204E"/>
    <w:rsid w:val="00EE24FC"/>
    <w:rsid w:val="00EE2703"/>
    <w:rsid w:val="00EE7CCD"/>
    <w:rsid w:val="00EF22F3"/>
    <w:rsid w:val="00EF4A2C"/>
    <w:rsid w:val="00EF502C"/>
    <w:rsid w:val="00EF51ED"/>
    <w:rsid w:val="00EF65F1"/>
    <w:rsid w:val="00EF7EF9"/>
    <w:rsid w:val="00F00A0F"/>
    <w:rsid w:val="00F123C3"/>
    <w:rsid w:val="00F12FF2"/>
    <w:rsid w:val="00F14663"/>
    <w:rsid w:val="00F155DC"/>
    <w:rsid w:val="00F21243"/>
    <w:rsid w:val="00F22E2E"/>
    <w:rsid w:val="00F2408B"/>
    <w:rsid w:val="00F27286"/>
    <w:rsid w:val="00F31D73"/>
    <w:rsid w:val="00F328C5"/>
    <w:rsid w:val="00F340B7"/>
    <w:rsid w:val="00F427A7"/>
    <w:rsid w:val="00F42D69"/>
    <w:rsid w:val="00F4326F"/>
    <w:rsid w:val="00F53878"/>
    <w:rsid w:val="00F620F8"/>
    <w:rsid w:val="00F63573"/>
    <w:rsid w:val="00F64ACA"/>
    <w:rsid w:val="00F663FE"/>
    <w:rsid w:val="00F670AF"/>
    <w:rsid w:val="00F710FC"/>
    <w:rsid w:val="00F716D0"/>
    <w:rsid w:val="00F74DE7"/>
    <w:rsid w:val="00F80AD5"/>
    <w:rsid w:val="00F80BE2"/>
    <w:rsid w:val="00F8765D"/>
    <w:rsid w:val="00F9195B"/>
    <w:rsid w:val="00F926DC"/>
    <w:rsid w:val="00F94E07"/>
    <w:rsid w:val="00FA1665"/>
    <w:rsid w:val="00FA3914"/>
    <w:rsid w:val="00FA5077"/>
    <w:rsid w:val="00FA512A"/>
    <w:rsid w:val="00FA7684"/>
    <w:rsid w:val="00FA7C4D"/>
    <w:rsid w:val="00FB5578"/>
    <w:rsid w:val="00FB7C32"/>
    <w:rsid w:val="00FC1994"/>
    <w:rsid w:val="00FC291D"/>
    <w:rsid w:val="00FC5273"/>
    <w:rsid w:val="00FC654C"/>
    <w:rsid w:val="00FC7905"/>
    <w:rsid w:val="00FD1889"/>
    <w:rsid w:val="00FD6B66"/>
    <w:rsid w:val="00FD7FD3"/>
    <w:rsid w:val="00FE1155"/>
    <w:rsid w:val="00FE4271"/>
    <w:rsid w:val="00FE5442"/>
    <w:rsid w:val="00FF12D4"/>
    <w:rsid w:val="00FF1DB5"/>
    <w:rsid w:val="00FF688B"/>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E692"/>
  <w15:docId w15:val="{4A20433F-937C-4CC1-BEB2-C1CC5F3C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3C"/>
  </w:style>
  <w:style w:type="paragraph" w:styleId="Heading1">
    <w:name w:val="heading 1"/>
    <w:basedOn w:val="Normal"/>
    <w:next w:val="Normal"/>
    <w:link w:val="Heading1Char"/>
    <w:uiPriority w:val="9"/>
    <w:qFormat/>
    <w:rsid w:val="00C75BB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75BB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75BB3"/>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75BB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75BB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5BB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75BB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75BB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5BB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41"/>
    <w:pPr>
      <w:ind w:left="720"/>
      <w:contextualSpacing/>
    </w:pPr>
  </w:style>
  <w:style w:type="character" w:customStyle="1" w:styleId="Heading1Char">
    <w:name w:val="Heading 1 Char"/>
    <w:basedOn w:val="DefaultParagraphFont"/>
    <w:link w:val="Heading1"/>
    <w:uiPriority w:val="9"/>
    <w:rsid w:val="00C75B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75B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75BB3"/>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C75BB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75BB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75BB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75BB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75B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5BB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F56C0"/>
    <w:rPr>
      <w:color w:val="0563C1" w:themeColor="hyperlink"/>
      <w:u w:val="single"/>
    </w:rPr>
  </w:style>
  <w:style w:type="paragraph" w:styleId="BalloonText">
    <w:name w:val="Balloon Text"/>
    <w:basedOn w:val="Normal"/>
    <w:link w:val="BalloonTextChar"/>
    <w:uiPriority w:val="99"/>
    <w:semiHidden/>
    <w:unhideWhenUsed/>
    <w:rsid w:val="00781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E22"/>
    <w:rPr>
      <w:rFonts w:ascii="Segoe UI" w:hAnsi="Segoe UI" w:cs="Segoe UI"/>
      <w:sz w:val="18"/>
      <w:szCs w:val="18"/>
    </w:rPr>
  </w:style>
  <w:style w:type="character" w:styleId="CommentReference">
    <w:name w:val="annotation reference"/>
    <w:basedOn w:val="DefaultParagraphFont"/>
    <w:uiPriority w:val="99"/>
    <w:semiHidden/>
    <w:unhideWhenUsed/>
    <w:rsid w:val="00361E07"/>
    <w:rPr>
      <w:sz w:val="16"/>
      <w:szCs w:val="16"/>
    </w:rPr>
  </w:style>
  <w:style w:type="paragraph" w:styleId="CommentText">
    <w:name w:val="annotation text"/>
    <w:basedOn w:val="Normal"/>
    <w:link w:val="CommentTextChar"/>
    <w:uiPriority w:val="99"/>
    <w:semiHidden/>
    <w:unhideWhenUsed/>
    <w:rsid w:val="00361E07"/>
    <w:pPr>
      <w:spacing w:line="240" w:lineRule="auto"/>
    </w:pPr>
    <w:rPr>
      <w:sz w:val="20"/>
      <w:szCs w:val="20"/>
    </w:rPr>
  </w:style>
  <w:style w:type="character" w:customStyle="1" w:styleId="CommentTextChar">
    <w:name w:val="Comment Text Char"/>
    <w:basedOn w:val="DefaultParagraphFont"/>
    <w:link w:val="CommentText"/>
    <w:uiPriority w:val="99"/>
    <w:semiHidden/>
    <w:rsid w:val="00361E07"/>
    <w:rPr>
      <w:sz w:val="20"/>
      <w:szCs w:val="20"/>
    </w:rPr>
  </w:style>
  <w:style w:type="paragraph" w:styleId="CommentSubject">
    <w:name w:val="annotation subject"/>
    <w:basedOn w:val="CommentText"/>
    <w:next w:val="CommentText"/>
    <w:link w:val="CommentSubjectChar"/>
    <w:uiPriority w:val="99"/>
    <w:semiHidden/>
    <w:unhideWhenUsed/>
    <w:rsid w:val="00361E07"/>
    <w:rPr>
      <w:b/>
      <w:bCs/>
    </w:rPr>
  </w:style>
  <w:style w:type="character" w:customStyle="1" w:styleId="CommentSubjectChar">
    <w:name w:val="Comment Subject Char"/>
    <w:basedOn w:val="CommentTextChar"/>
    <w:link w:val="CommentSubject"/>
    <w:uiPriority w:val="99"/>
    <w:semiHidden/>
    <w:rsid w:val="00361E07"/>
    <w:rPr>
      <w:b/>
      <w:bCs/>
      <w:sz w:val="20"/>
      <w:szCs w:val="20"/>
    </w:rPr>
  </w:style>
  <w:style w:type="paragraph" w:styleId="Revision">
    <w:name w:val="Revision"/>
    <w:hidden/>
    <w:uiPriority w:val="99"/>
    <w:semiHidden/>
    <w:rsid w:val="00010912"/>
    <w:pPr>
      <w:spacing w:after="0" w:line="240" w:lineRule="auto"/>
    </w:pPr>
  </w:style>
  <w:style w:type="paragraph" w:styleId="Subtitle">
    <w:name w:val="Subtitle"/>
    <w:basedOn w:val="Normal"/>
    <w:link w:val="SubtitleChar"/>
    <w:qFormat/>
    <w:rsid w:val="00E145A0"/>
    <w:pPr>
      <w:spacing w:after="0" w:line="240" w:lineRule="auto"/>
      <w:jc w:val="center"/>
    </w:pPr>
    <w:rPr>
      <w:rFonts w:ascii="Tahoma" w:eastAsia="Times New Roman" w:hAnsi="Tahoma" w:cs="Times New Roman"/>
      <w:sz w:val="28"/>
      <w:szCs w:val="20"/>
    </w:rPr>
  </w:style>
  <w:style w:type="character" w:customStyle="1" w:styleId="SubtitleChar">
    <w:name w:val="Subtitle Char"/>
    <w:basedOn w:val="DefaultParagraphFont"/>
    <w:link w:val="Subtitle"/>
    <w:rsid w:val="00E145A0"/>
    <w:rPr>
      <w:rFonts w:ascii="Tahoma" w:eastAsia="Times New Roman" w:hAnsi="Tahoma" w:cs="Times New Roman"/>
      <w:sz w:val="28"/>
      <w:szCs w:val="20"/>
    </w:rPr>
  </w:style>
  <w:style w:type="paragraph" w:styleId="NormalWeb">
    <w:name w:val="Normal (Web)"/>
    <w:basedOn w:val="Normal"/>
    <w:uiPriority w:val="99"/>
    <w:semiHidden/>
    <w:unhideWhenUsed/>
    <w:rsid w:val="00247DC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13E6F"/>
    <w:rPr>
      <w:b/>
      <w:bCs/>
    </w:rPr>
  </w:style>
  <w:style w:type="character" w:styleId="Emphasis">
    <w:name w:val="Emphasis"/>
    <w:basedOn w:val="DefaultParagraphFont"/>
    <w:uiPriority w:val="20"/>
    <w:qFormat/>
    <w:rsid w:val="00E13E6F"/>
    <w:rPr>
      <w:i/>
      <w:iCs/>
    </w:rPr>
  </w:style>
  <w:style w:type="paragraph" w:styleId="Header">
    <w:name w:val="header"/>
    <w:basedOn w:val="Normal"/>
    <w:link w:val="HeaderChar"/>
    <w:uiPriority w:val="99"/>
    <w:unhideWhenUsed/>
    <w:rsid w:val="0072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CC0"/>
  </w:style>
  <w:style w:type="paragraph" w:styleId="Footer">
    <w:name w:val="footer"/>
    <w:basedOn w:val="Normal"/>
    <w:link w:val="FooterChar"/>
    <w:uiPriority w:val="99"/>
    <w:unhideWhenUsed/>
    <w:rsid w:val="0072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CC0"/>
  </w:style>
  <w:style w:type="character" w:styleId="FollowedHyperlink">
    <w:name w:val="FollowedHyperlink"/>
    <w:basedOn w:val="DefaultParagraphFont"/>
    <w:uiPriority w:val="99"/>
    <w:semiHidden/>
    <w:unhideWhenUsed/>
    <w:rsid w:val="00D02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40775">
      <w:bodyDiv w:val="1"/>
      <w:marLeft w:val="0"/>
      <w:marRight w:val="0"/>
      <w:marTop w:val="0"/>
      <w:marBottom w:val="0"/>
      <w:divBdr>
        <w:top w:val="none" w:sz="0" w:space="0" w:color="auto"/>
        <w:left w:val="none" w:sz="0" w:space="0" w:color="auto"/>
        <w:bottom w:val="none" w:sz="0" w:space="0" w:color="auto"/>
        <w:right w:val="none" w:sz="0" w:space="0" w:color="auto"/>
      </w:divBdr>
    </w:div>
    <w:div w:id="1837501697">
      <w:bodyDiv w:val="1"/>
      <w:marLeft w:val="0"/>
      <w:marRight w:val="0"/>
      <w:marTop w:val="0"/>
      <w:marBottom w:val="0"/>
      <w:divBdr>
        <w:top w:val="none" w:sz="0" w:space="0" w:color="auto"/>
        <w:left w:val="none" w:sz="0" w:space="0" w:color="auto"/>
        <w:bottom w:val="none" w:sz="0" w:space="0" w:color="auto"/>
        <w:right w:val="none" w:sz="0" w:space="0" w:color="auto"/>
      </w:divBdr>
    </w:div>
    <w:div w:id="2107185266">
      <w:bodyDiv w:val="1"/>
      <w:marLeft w:val="0"/>
      <w:marRight w:val="0"/>
      <w:marTop w:val="0"/>
      <w:marBottom w:val="0"/>
      <w:divBdr>
        <w:top w:val="none" w:sz="0" w:space="0" w:color="auto"/>
        <w:left w:val="none" w:sz="0" w:space="0" w:color="auto"/>
        <w:bottom w:val="none" w:sz="0" w:space="0" w:color="auto"/>
        <w:right w:val="none" w:sz="0" w:space="0" w:color="auto"/>
      </w:divBdr>
      <w:divsChild>
        <w:div w:id="742289915">
          <w:marLeft w:val="0"/>
          <w:marRight w:val="0"/>
          <w:marTop w:val="0"/>
          <w:marBottom w:val="439"/>
          <w:divBdr>
            <w:top w:val="single" w:sz="6" w:space="15" w:color="D9D9D9"/>
            <w:left w:val="single" w:sz="6" w:space="15" w:color="D9D9D9"/>
            <w:bottom w:val="single" w:sz="6" w:space="15" w:color="D9D9D9"/>
            <w:right w:val="single" w:sz="6" w:space="15" w:color="D9D9D9"/>
          </w:divBdr>
          <w:divsChild>
            <w:div w:id="847906440">
              <w:marLeft w:val="0"/>
              <w:marRight w:val="0"/>
              <w:marTop w:val="0"/>
              <w:marBottom w:val="0"/>
              <w:divBdr>
                <w:top w:val="none" w:sz="0" w:space="0" w:color="auto"/>
                <w:left w:val="none" w:sz="0" w:space="0" w:color="auto"/>
                <w:bottom w:val="none" w:sz="0" w:space="0" w:color="auto"/>
                <w:right w:val="none" w:sz="0" w:space="0" w:color="auto"/>
              </w:divBdr>
            </w:div>
          </w:divsChild>
        </w:div>
        <w:div w:id="1268000838">
          <w:marLeft w:val="0"/>
          <w:marRight w:val="0"/>
          <w:marTop w:val="0"/>
          <w:marBottom w:val="439"/>
          <w:divBdr>
            <w:top w:val="single" w:sz="6" w:space="15" w:color="D9D9D9"/>
            <w:left w:val="single" w:sz="6" w:space="15" w:color="D9D9D9"/>
            <w:bottom w:val="single" w:sz="6" w:space="15" w:color="D9D9D9"/>
            <w:right w:val="single" w:sz="6" w:space="15" w:color="D9D9D9"/>
          </w:divBdr>
          <w:divsChild>
            <w:div w:id="1319840776">
              <w:marLeft w:val="0"/>
              <w:marRight w:val="0"/>
              <w:marTop w:val="0"/>
              <w:marBottom w:val="0"/>
              <w:divBdr>
                <w:top w:val="none" w:sz="0" w:space="0" w:color="auto"/>
                <w:left w:val="none" w:sz="0" w:space="0" w:color="auto"/>
                <w:bottom w:val="none" w:sz="0" w:space="0" w:color="auto"/>
                <w:right w:val="none" w:sz="0" w:space="0" w:color="auto"/>
              </w:divBdr>
            </w:div>
          </w:divsChild>
        </w:div>
        <w:div w:id="1128166813">
          <w:marLeft w:val="0"/>
          <w:marRight w:val="0"/>
          <w:marTop w:val="0"/>
          <w:marBottom w:val="439"/>
          <w:divBdr>
            <w:top w:val="single" w:sz="6" w:space="15" w:color="D9D9D9"/>
            <w:left w:val="single" w:sz="6" w:space="15" w:color="D9D9D9"/>
            <w:bottom w:val="single" w:sz="6" w:space="15" w:color="D9D9D9"/>
            <w:right w:val="single" w:sz="6" w:space="15" w:color="D9D9D9"/>
          </w:divBdr>
          <w:divsChild>
            <w:div w:id="1323895967">
              <w:marLeft w:val="0"/>
              <w:marRight w:val="0"/>
              <w:marTop w:val="0"/>
              <w:marBottom w:val="0"/>
              <w:divBdr>
                <w:top w:val="none" w:sz="0" w:space="0" w:color="auto"/>
                <w:left w:val="none" w:sz="0" w:space="0" w:color="auto"/>
                <w:bottom w:val="none" w:sz="0" w:space="0" w:color="auto"/>
                <w:right w:val="none" w:sz="0" w:space="0" w:color="auto"/>
              </w:divBdr>
            </w:div>
          </w:divsChild>
        </w:div>
        <w:div w:id="34504550">
          <w:marLeft w:val="0"/>
          <w:marRight w:val="0"/>
          <w:marTop w:val="0"/>
          <w:marBottom w:val="439"/>
          <w:divBdr>
            <w:top w:val="single" w:sz="6" w:space="15" w:color="D9D9D9"/>
            <w:left w:val="single" w:sz="6" w:space="15" w:color="D9D9D9"/>
            <w:bottom w:val="single" w:sz="6" w:space="15" w:color="D9D9D9"/>
            <w:right w:val="single" w:sz="6" w:space="15" w:color="D9D9D9"/>
          </w:divBdr>
          <w:divsChild>
            <w:div w:id="1087725561">
              <w:marLeft w:val="0"/>
              <w:marRight w:val="0"/>
              <w:marTop w:val="0"/>
              <w:marBottom w:val="0"/>
              <w:divBdr>
                <w:top w:val="none" w:sz="0" w:space="0" w:color="auto"/>
                <w:left w:val="none" w:sz="0" w:space="0" w:color="auto"/>
                <w:bottom w:val="none" w:sz="0" w:space="0" w:color="auto"/>
                <w:right w:val="none" w:sz="0" w:space="0" w:color="auto"/>
              </w:divBdr>
            </w:div>
          </w:divsChild>
        </w:div>
        <w:div w:id="1924072686">
          <w:marLeft w:val="0"/>
          <w:marRight w:val="0"/>
          <w:marTop w:val="0"/>
          <w:marBottom w:val="439"/>
          <w:divBdr>
            <w:top w:val="single" w:sz="6" w:space="15" w:color="D9D9D9"/>
            <w:left w:val="single" w:sz="6" w:space="15" w:color="D9D9D9"/>
            <w:bottom w:val="single" w:sz="6" w:space="15" w:color="D9D9D9"/>
            <w:right w:val="single" w:sz="6" w:space="15" w:color="D9D9D9"/>
          </w:divBdr>
          <w:divsChild>
            <w:div w:id="492844155">
              <w:marLeft w:val="0"/>
              <w:marRight w:val="0"/>
              <w:marTop w:val="0"/>
              <w:marBottom w:val="0"/>
              <w:divBdr>
                <w:top w:val="none" w:sz="0" w:space="0" w:color="auto"/>
                <w:left w:val="none" w:sz="0" w:space="0" w:color="auto"/>
                <w:bottom w:val="none" w:sz="0" w:space="0" w:color="auto"/>
                <w:right w:val="none" w:sz="0" w:space="0" w:color="auto"/>
              </w:divBdr>
            </w:div>
          </w:divsChild>
        </w:div>
        <w:div w:id="1506942915">
          <w:marLeft w:val="0"/>
          <w:marRight w:val="0"/>
          <w:marTop w:val="0"/>
          <w:marBottom w:val="439"/>
          <w:divBdr>
            <w:top w:val="single" w:sz="6" w:space="15" w:color="D9D9D9"/>
            <w:left w:val="single" w:sz="6" w:space="15" w:color="D9D9D9"/>
            <w:bottom w:val="single" w:sz="6" w:space="15" w:color="D9D9D9"/>
            <w:right w:val="single" w:sz="6" w:space="15" w:color="D9D9D9"/>
          </w:divBdr>
          <w:divsChild>
            <w:div w:id="474958922">
              <w:marLeft w:val="0"/>
              <w:marRight w:val="0"/>
              <w:marTop w:val="0"/>
              <w:marBottom w:val="0"/>
              <w:divBdr>
                <w:top w:val="none" w:sz="0" w:space="0" w:color="auto"/>
                <w:left w:val="none" w:sz="0" w:space="0" w:color="auto"/>
                <w:bottom w:val="none" w:sz="0" w:space="0" w:color="auto"/>
                <w:right w:val="none" w:sz="0" w:space="0" w:color="auto"/>
              </w:divBdr>
            </w:div>
          </w:divsChild>
        </w:div>
        <w:div w:id="1308440213">
          <w:marLeft w:val="0"/>
          <w:marRight w:val="0"/>
          <w:marTop w:val="0"/>
          <w:marBottom w:val="0"/>
          <w:divBdr>
            <w:top w:val="single" w:sz="6" w:space="15" w:color="D9D9D9"/>
            <w:left w:val="single" w:sz="6" w:space="15" w:color="D9D9D9"/>
            <w:bottom w:val="single" w:sz="6" w:space="15" w:color="D9D9D9"/>
            <w:right w:val="single" w:sz="6" w:space="15" w:color="D9D9D9"/>
          </w:divBdr>
          <w:divsChild>
            <w:div w:id="12261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4176">
      <w:bodyDiv w:val="1"/>
      <w:marLeft w:val="0"/>
      <w:marRight w:val="0"/>
      <w:marTop w:val="0"/>
      <w:marBottom w:val="0"/>
      <w:divBdr>
        <w:top w:val="none" w:sz="0" w:space="0" w:color="auto"/>
        <w:left w:val="none" w:sz="0" w:space="0" w:color="auto"/>
        <w:bottom w:val="none" w:sz="0" w:space="0" w:color="auto"/>
        <w:right w:val="none" w:sz="0" w:space="0" w:color="auto"/>
      </w:divBdr>
      <w:divsChild>
        <w:div w:id="1063794579">
          <w:marLeft w:val="0"/>
          <w:marRight w:val="0"/>
          <w:marTop w:val="0"/>
          <w:marBottom w:val="439"/>
          <w:divBdr>
            <w:top w:val="single" w:sz="6" w:space="15" w:color="D9D9D9"/>
            <w:left w:val="single" w:sz="6" w:space="15" w:color="D9D9D9"/>
            <w:bottom w:val="single" w:sz="6" w:space="15" w:color="D9D9D9"/>
            <w:right w:val="single" w:sz="6" w:space="15" w:color="D9D9D9"/>
          </w:divBdr>
          <w:divsChild>
            <w:div w:id="122890721">
              <w:marLeft w:val="0"/>
              <w:marRight w:val="0"/>
              <w:marTop w:val="0"/>
              <w:marBottom w:val="0"/>
              <w:divBdr>
                <w:top w:val="none" w:sz="0" w:space="0" w:color="auto"/>
                <w:left w:val="none" w:sz="0" w:space="0" w:color="auto"/>
                <w:bottom w:val="none" w:sz="0" w:space="0" w:color="auto"/>
                <w:right w:val="none" w:sz="0" w:space="0" w:color="auto"/>
              </w:divBdr>
            </w:div>
          </w:divsChild>
        </w:div>
        <w:div w:id="1589844844">
          <w:marLeft w:val="0"/>
          <w:marRight w:val="0"/>
          <w:marTop w:val="0"/>
          <w:marBottom w:val="439"/>
          <w:divBdr>
            <w:top w:val="single" w:sz="6" w:space="15" w:color="D9D9D9"/>
            <w:left w:val="single" w:sz="6" w:space="15" w:color="D9D9D9"/>
            <w:bottom w:val="single" w:sz="6" w:space="15" w:color="D9D9D9"/>
            <w:right w:val="single" w:sz="6" w:space="15" w:color="D9D9D9"/>
          </w:divBdr>
          <w:divsChild>
            <w:div w:id="1556047144">
              <w:marLeft w:val="0"/>
              <w:marRight w:val="0"/>
              <w:marTop w:val="0"/>
              <w:marBottom w:val="0"/>
              <w:divBdr>
                <w:top w:val="none" w:sz="0" w:space="0" w:color="auto"/>
                <w:left w:val="none" w:sz="0" w:space="0" w:color="auto"/>
                <w:bottom w:val="none" w:sz="0" w:space="0" w:color="auto"/>
                <w:right w:val="none" w:sz="0" w:space="0" w:color="auto"/>
              </w:divBdr>
            </w:div>
          </w:divsChild>
        </w:div>
        <w:div w:id="1361666643">
          <w:marLeft w:val="0"/>
          <w:marRight w:val="0"/>
          <w:marTop w:val="0"/>
          <w:marBottom w:val="439"/>
          <w:divBdr>
            <w:top w:val="single" w:sz="6" w:space="15" w:color="D9D9D9"/>
            <w:left w:val="single" w:sz="6" w:space="15" w:color="D9D9D9"/>
            <w:bottom w:val="single" w:sz="6" w:space="15" w:color="D9D9D9"/>
            <w:right w:val="single" w:sz="6" w:space="15" w:color="D9D9D9"/>
          </w:divBdr>
          <w:divsChild>
            <w:div w:id="637302651">
              <w:marLeft w:val="0"/>
              <w:marRight w:val="0"/>
              <w:marTop w:val="0"/>
              <w:marBottom w:val="0"/>
              <w:divBdr>
                <w:top w:val="none" w:sz="0" w:space="0" w:color="auto"/>
                <w:left w:val="none" w:sz="0" w:space="0" w:color="auto"/>
                <w:bottom w:val="none" w:sz="0" w:space="0" w:color="auto"/>
                <w:right w:val="none" w:sz="0" w:space="0" w:color="auto"/>
              </w:divBdr>
            </w:div>
          </w:divsChild>
        </w:div>
        <w:div w:id="838733064">
          <w:marLeft w:val="0"/>
          <w:marRight w:val="0"/>
          <w:marTop w:val="0"/>
          <w:marBottom w:val="439"/>
          <w:divBdr>
            <w:top w:val="single" w:sz="6" w:space="15" w:color="D9D9D9"/>
            <w:left w:val="single" w:sz="6" w:space="15" w:color="D9D9D9"/>
            <w:bottom w:val="single" w:sz="6" w:space="15" w:color="D9D9D9"/>
            <w:right w:val="single" w:sz="6" w:space="15" w:color="D9D9D9"/>
          </w:divBdr>
          <w:divsChild>
            <w:div w:id="749739845">
              <w:marLeft w:val="0"/>
              <w:marRight w:val="0"/>
              <w:marTop w:val="0"/>
              <w:marBottom w:val="0"/>
              <w:divBdr>
                <w:top w:val="none" w:sz="0" w:space="0" w:color="auto"/>
                <w:left w:val="none" w:sz="0" w:space="0" w:color="auto"/>
                <w:bottom w:val="none" w:sz="0" w:space="0" w:color="auto"/>
                <w:right w:val="none" w:sz="0" w:space="0" w:color="auto"/>
              </w:divBdr>
            </w:div>
          </w:divsChild>
        </w:div>
        <w:div w:id="1489443163">
          <w:marLeft w:val="0"/>
          <w:marRight w:val="0"/>
          <w:marTop w:val="0"/>
          <w:marBottom w:val="439"/>
          <w:divBdr>
            <w:top w:val="single" w:sz="6" w:space="15" w:color="D9D9D9"/>
            <w:left w:val="single" w:sz="6" w:space="15" w:color="D9D9D9"/>
            <w:bottom w:val="single" w:sz="6" w:space="15" w:color="D9D9D9"/>
            <w:right w:val="single" w:sz="6" w:space="15" w:color="D9D9D9"/>
          </w:divBdr>
          <w:divsChild>
            <w:div w:id="1847475994">
              <w:marLeft w:val="0"/>
              <w:marRight w:val="0"/>
              <w:marTop w:val="0"/>
              <w:marBottom w:val="0"/>
              <w:divBdr>
                <w:top w:val="none" w:sz="0" w:space="0" w:color="auto"/>
                <w:left w:val="none" w:sz="0" w:space="0" w:color="auto"/>
                <w:bottom w:val="none" w:sz="0" w:space="0" w:color="auto"/>
                <w:right w:val="none" w:sz="0" w:space="0" w:color="auto"/>
              </w:divBdr>
            </w:div>
          </w:divsChild>
        </w:div>
        <w:div w:id="1313220505">
          <w:marLeft w:val="0"/>
          <w:marRight w:val="0"/>
          <w:marTop w:val="0"/>
          <w:marBottom w:val="439"/>
          <w:divBdr>
            <w:top w:val="single" w:sz="6" w:space="15" w:color="D9D9D9"/>
            <w:left w:val="single" w:sz="6" w:space="15" w:color="D9D9D9"/>
            <w:bottom w:val="single" w:sz="6" w:space="15" w:color="D9D9D9"/>
            <w:right w:val="single" w:sz="6" w:space="15" w:color="D9D9D9"/>
          </w:divBdr>
          <w:divsChild>
            <w:div w:id="1171607383">
              <w:marLeft w:val="0"/>
              <w:marRight w:val="0"/>
              <w:marTop w:val="0"/>
              <w:marBottom w:val="0"/>
              <w:divBdr>
                <w:top w:val="none" w:sz="0" w:space="0" w:color="auto"/>
                <w:left w:val="none" w:sz="0" w:space="0" w:color="auto"/>
                <w:bottom w:val="none" w:sz="0" w:space="0" w:color="auto"/>
                <w:right w:val="none" w:sz="0" w:space="0" w:color="auto"/>
              </w:divBdr>
            </w:div>
          </w:divsChild>
        </w:div>
        <w:div w:id="821972033">
          <w:marLeft w:val="0"/>
          <w:marRight w:val="0"/>
          <w:marTop w:val="0"/>
          <w:marBottom w:val="0"/>
          <w:divBdr>
            <w:top w:val="single" w:sz="6" w:space="15" w:color="D9D9D9"/>
            <w:left w:val="single" w:sz="6" w:space="15" w:color="D9D9D9"/>
            <w:bottom w:val="single" w:sz="6" w:space="15" w:color="D9D9D9"/>
            <w:right w:val="single" w:sz="6" w:space="15" w:color="D9D9D9"/>
          </w:divBdr>
          <w:divsChild>
            <w:div w:id="542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uwosh.edu" TargetMode="External"/><Relationship Id="rId13" Type="http://schemas.openxmlformats.org/officeDocument/2006/relationships/hyperlink" Target="https://www.osha.gov/pls/oshaweb/owadisp.show_document?p_id=10051&amp;p_table=STANDARDS" TargetMode="External"/><Relationship Id="rId18" Type="http://schemas.openxmlformats.org/officeDocument/2006/relationships/hyperlink" Target="http://grants.uwosh.edu/sample-page/research-compliance/institutional-biosaftey-committee-ibc/ibc-training/" TargetMode="External"/><Relationship Id="rId26" Type="http://schemas.openxmlformats.org/officeDocument/2006/relationships/hyperlink" Target="http://grants.uwosh.edu/sample-page/research-compliance/institutional-biosaftey-committee-ibc/ibc-forms/" TargetMode="External"/><Relationship Id="rId3" Type="http://schemas.openxmlformats.org/officeDocument/2006/relationships/styles" Target="styles.xml"/><Relationship Id="rId21" Type="http://schemas.openxmlformats.org/officeDocument/2006/relationships/hyperlink" Target="http://grants.uwosh.edu/sample-page/research-compliance/institutional-biosaftey-committee-ibc/ibc-forms/"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cdc.gov/biosafety/publications/bmbl5/bmbl.pdf" TargetMode="External"/><Relationship Id="rId17" Type="http://schemas.openxmlformats.org/officeDocument/2006/relationships/hyperlink" Target="http://grants.uwosh.edu/sample-page/research-compliance/institutional-biosaftey-committee-ibc/ibc-forms/" TargetMode="External"/><Relationship Id="rId25" Type="http://schemas.openxmlformats.org/officeDocument/2006/relationships/hyperlink" Target="mailto:biosafety@uwosh.edu" TargetMode="External"/><Relationship Id="rId2" Type="http://schemas.openxmlformats.org/officeDocument/2006/relationships/numbering" Target="numbering.xml"/><Relationship Id="rId16" Type="http://schemas.openxmlformats.org/officeDocument/2006/relationships/hyperlink" Target="http://grants.uwosh.edu/sample-page/research-compliance/institutional-biosaftey-committee-ibc/ibc-forms/" TargetMode="External"/><Relationship Id="rId20" Type="http://schemas.openxmlformats.org/officeDocument/2006/relationships/hyperlink" Target="https://my.absa.org/Riskgroups" TargetMode="External"/><Relationship Id="rId29" Type="http://schemas.openxmlformats.org/officeDocument/2006/relationships/hyperlink" Target="http://osp.od.nih.gov/office-biotechnology-activities/biosafety/nih-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p.od.nih.gov/office-biotechnology-activities/biosafety/nih-guidelines" TargetMode="External"/><Relationship Id="rId24" Type="http://schemas.openxmlformats.org/officeDocument/2006/relationships/hyperlink" Target="http://grants.uwosh.edu/sample-page/research-compliance/institutional-biosaftey-committee-ibc/ibc-forms/" TargetMode="External"/><Relationship Id="rId5" Type="http://schemas.openxmlformats.org/officeDocument/2006/relationships/webSettings" Target="webSettings.xml"/><Relationship Id="rId15" Type="http://schemas.openxmlformats.org/officeDocument/2006/relationships/hyperlink" Target="http://dnr.wi.gov/topic/waste/" TargetMode="External"/><Relationship Id="rId23" Type="http://schemas.openxmlformats.org/officeDocument/2006/relationships/hyperlink" Target="mailto:biosafety@uwosh.edu" TargetMode="External"/><Relationship Id="rId28" Type="http://schemas.openxmlformats.org/officeDocument/2006/relationships/hyperlink" Target="https://osp.od.nih.gov/wp-content/uploads/NIH_Guidelines.html" TargetMode="External"/><Relationship Id="rId10" Type="http://schemas.openxmlformats.org/officeDocument/2006/relationships/hyperlink" Target="mailto:biosafety@uwosh.edu" TargetMode="External"/><Relationship Id="rId19" Type="http://schemas.openxmlformats.org/officeDocument/2006/relationships/hyperlink" Target="http://osp.od.nih.gov/office-biotechnology-activities/biosafety/nih-guidelin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nts.uwosh.edu/sample-page/research-compliance/institutional-biosaftey-committee-ibc/ibc-forms/" TargetMode="External"/><Relationship Id="rId14" Type="http://schemas.openxmlformats.org/officeDocument/2006/relationships/hyperlink" Target="https://webstore.ansi.org/laboratory_safety/Default.aspx" TargetMode="External"/><Relationship Id="rId22" Type="http://schemas.openxmlformats.org/officeDocument/2006/relationships/hyperlink" Target="mailto:biosafety@uwosh.edu" TargetMode="External"/><Relationship Id="rId27" Type="http://schemas.openxmlformats.org/officeDocument/2006/relationships/hyperlink" Target="http://osp.od.nih.gov/office-biotechnology-activities/biosafety/nih-guidelin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F1B1-4414-46BA-96DA-C1E0121E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20831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Schill</dc:creator>
  <cp:lastModifiedBy>Schill, Kelly A</cp:lastModifiedBy>
  <cp:revision>2</cp:revision>
  <cp:lastPrinted>2016-08-17T19:51:00Z</cp:lastPrinted>
  <dcterms:created xsi:type="dcterms:W3CDTF">2018-01-10T16:50:00Z</dcterms:created>
  <dcterms:modified xsi:type="dcterms:W3CDTF">2018-01-10T16:50:00Z</dcterms:modified>
</cp:coreProperties>
</file>