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71" w:rsidRDefault="009804D0">
      <w:pPr>
        <w:spacing w:after="0" w:line="259" w:lineRule="auto"/>
        <w:ind w:left="19"/>
        <w:jc w:val="center"/>
      </w:pPr>
      <w:bookmarkStart w:id="0" w:name="_GoBack"/>
      <w:bookmarkEnd w:id="0"/>
      <w:r>
        <w:rPr>
          <w:b/>
          <w:sz w:val="24"/>
        </w:rPr>
        <w:t xml:space="preserve">University of Wisconsin Oshkosh </w:t>
      </w:r>
    </w:p>
    <w:p w:rsidR="00B17371" w:rsidRDefault="009804D0">
      <w:pPr>
        <w:spacing w:after="0" w:line="259" w:lineRule="auto"/>
        <w:ind w:left="19" w:right="3"/>
        <w:jc w:val="center"/>
      </w:pPr>
      <w:r>
        <w:rPr>
          <w:b/>
          <w:sz w:val="24"/>
        </w:rPr>
        <w:t xml:space="preserve">Office of Sponsored Programs (OSP) </w:t>
      </w:r>
    </w:p>
    <w:p w:rsidR="00B17371" w:rsidRDefault="009804D0">
      <w:pPr>
        <w:spacing w:after="0" w:line="259" w:lineRule="auto"/>
        <w:ind w:left="67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514" w:type="dxa"/>
        <w:tblInd w:w="144" w:type="dxa"/>
        <w:tblCellMar>
          <w:top w:w="94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51"/>
        <w:gridCol w:w="5063"/>
      </w:tblGrid>
      <w:tr w:rsidR="00B17371">
        <w:trPr>
          <w:trHeight w:val="583"/>
        </w:trPr>
        <w:tc>
          <w:tcPr>
            <w:tcW w:w="105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17371" w:rsidRDefault="009804D0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STANDARD OPERATING PROCEDURE (SOP) </w:t>
            </w:r>
          </w:p>
        </w:tc>
      </w:tr>
      <w:tr w:rsidR="00B17371">
        <w:trPr>
          <w:trHeight w:val="2319"/>
        </w:trPr>
        <w:tc>
          <w:tcPr>
            <w:tcW w:w="54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17371" w:rsidRDefault="009804D0">
            <w:pPr>
              <w:spacing w:after="0" w:line="259" w:lineRule="auto"/>
              <w:ind w:left="2" w:firstLine="0"/>
            </w:pPr>
            <w:r>
              <w:t xml:space="preserve">SOP Number: 1 </w:t>
            </w:r>
          </w:p>
          <w:p w:rsidR="00B17371" w:rsidRDefault="009804D0">
            <w:pPr>
              <w:spacing w:after="2" w:line="236" w:lineRule="auto"/>
              <w:ind w:left="2" w:right="2644" w:firstLine="0"/>
            </w:pPr>
            <w:r>
              <w:t xml:space="preserve">Effective Date: 12/20/18 Last Reviewed:  </w:t>
            </w:r>
          </w:p>
          <w:p w:rsidR="00B17371" w:rsidRDefault="009804D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17371" w:rsidRDefault="009804D0">
            <w:pPr>
              <w:spacing w:after="0" w:line="259" w:lineRule="auto"/>
              <w:ind w:left="2" w:firstLine="0"/>
            </w:pPr>
            <w:r>
              <w:t xml:space="preserve">Title:   </w:t>
            </w:r>
          </w:p>
          <w:p w:rsidR="00B17371" w:rsidRDefault="009804D0">
            <w:pPr>
              <w:spacing w:after="0" w:line="259" w:lineRule="auto"/>
              <w:ind w:left="2" w:firstLine="0"/>
            </w:pPr>
            <w:r>
              <w:rPr>
                <w:b/>
              </w:rPr>
              <w:t>Proposal Submission Deadlines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7371" w:rsidRDefault="009804D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OSP Contact Information </w:t>
            </w:r>
          </w:p>
          <w:p w:rsidR="00B17371" w:rsidRDefault="009804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17371" w:rsidRDefault="009804D0">
            <w:pPr>
              <w:spacing w:after="2" w:line="236" w:lineRule="auto"/>
              <w:ind w:left="0" w:firstLine="0"/>
            </w:pPr>
            <w:r>
              <w:t xml:space="preserve">Business Hours:  </w:t>
            </w:r>
            <w:r>
              <w:t xml:space="preserve">8:00 a.m. to 4:30 p.m., </w:t>
            </w:r>
            <w:proofErr w:type="spellStart"/>
            <w:r>
              <w:t>MondayFriday</w:t>
            </w:r>
            <w:proofErr w:type="spellEnd"/>
            <w:r>
              <w:t xml:space="preserve"> (excluding holidays).   </w:t>
            </w:r>
          </w:p>
          <w:p w:rsidR="00B17371" w:rsidRDefault="009804D0">
            <w:pPr>
              <w:spacing w:after="0" w:line="259" w:lineRule="auto"/>
              <w:ind w:left="1440" w:firstLine="0"/>
            </w:pPr>
            <w:r>
              <w:t xml:space="preserve"> </w:t>
            </w:r>
          </w:p>
          <w:p w:rsidR="00B17371" w:rsidRDefault="009804D0">
            <w:pPr>
              <w:spacing w:after="0" w:line="259" w:lineRule="auto"/>
              <w:ind w:left="0" w:firstLine="0"/>
            </w:pPr>
            <w:r>
              <w:t xml:space="preserve">Main:  920-424-3215 </w:t>
            </w:r>
          </w:p>
          <w:p w:rsidR="00B17371" w:rsidRDefault="009804D0">
            <w:pPr>
              <w:spacing w:after="0" w:line="259" w:lineRule="auto"/>
              <w:ind w:left="0" w:firstLine="0"/>
            </w:pPr>
            <w:r>
              <w:t>E-mail:  OSP@uwosh.edu</w:t>
            </w:r>
            <w:r>
              <w:rPr>
                <w:color w:val="0000FF"/>
              </w:rPr>
              <w:t xml:space="preserve">  </w:t>
            </w:r>
          </w:p>
          <w:p w:rsidR="00B17371" w:rsidRDefault="009804D0">
            <w:pPr>
              <w:spacing w:after="0" w:line="259" w:lineRule="auto"/>
              <w:ind w:left="0" w:firstLine="0"/>
            </w:pPr>
            <w:r>
              <w:t>Website:  uwosh.edu/</w:t>
            </w:r>
            <w:proofErr w:type="spellStart"/>
            <w:r>
              <w:t>sponsoredprograms</w:t>
            </w:r>
            <w:proofErr w:type="spellEnd"/>
            <w:r>
              <w:t xml:space="preserve">    </w:t>
            </w:r>
            <w:r>
              <w:rPr>
                <w:sz w:val="24"/>
              </w:rPr>
              <w:t xml:space="preserve"> </w:t>
            </w:r>
          </w:p>
        </w:tc>
      </w:tr>
    </w:tbl>
    <w:p w:rsidR="00B17371" w:rsidRDefault="009804D0">
      <w:pPr>
        <w:spacing w:after="0" w:line="259" w:lineRule="auto"/>
        <w:ind w:left="67" w:firstLine="0"/>
        <w:jc w:val="center"/>
      </w:pPr>
      <w:r>
        <w:rPr>
          <w:b/>
          <w:sz w:val="24"/>
        </w:rPr>
        <w:t xml:space="preserve"> </w:t>
      </w:r>
    </w:p>
    <w:p w:rsidR="00B17371" w:rsidRDefault="009804D0">
      <w:pPr>
        <w:pStyle w:val="Heading1"/>
        <w:ind w:left="355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Overview </w:t>
      </w:r>
    </w:p>
    <w:p w:rsidR="00B17371" w:rsidRDefault="009804D0">
      <w:r>
        <w:t xml:space="preserve">The University of Wisconsin Oshkosh, </w:t>
      </w:r>
      <w:r>
        <w:rPr>
          <w:b/>
        </w:rPr>
        <w:t>Office of Sponsored Programs (OSP)</w:t>
      </w:r>
      <w:r>
        <w:t xml:space="preserve"> is committed to</w:t>
      </w:r>
      <w:r>
        <w:t xml:space="preserve"> providing pre-award services to </w:t>
      </w:r>
      <w:r>
        <w:rPr>
          <w:b/>
        </w:rPr>
        <w:t>Principal Investigators (PIs)</w:t>
      </w:r>
      <w:r>
        <w:t>, ensuring that sponsor-driven submission deadlines, policies and requirements are met.  Principal Investigators are encouraged to notify OSP staff as soon as they find interest in a funding opp</w:t>
      </w:r>
      <w:r>
        <w:t>ortunity so staff can ensure a smooth development and submission process.  OSP staff can draft a submission checklist and timeline, and assist the PI with proposal and budget development.  Under this SOP, a complete and final version of the proposal, accom</w:t>
      </w:r>
      <w:r>
        <w:t>panied by the Internal Review Form (see SOP #2) must be received by OSP a minimum of five (5) business days prior to the sponsor’s submission deadline and time.  This requirement allows OSP staff adequate time for proposal review prior to submission to the</w:t>
      </w:r>
      <w:r>
        <w:t xml:space="preserve"> sponsor.  Federal submissions or larger grant proposals may require more time for review.  Please work with your pre-award grants administrator to plan an appropriate timeline.  </w:t>
      </w:r>
    </w:p>
    <w:p w:rsidR="00B17371" w:rsidRDefault="009804D0">
      <w:pPr>
        <w:spacing w:after="0" w:line="259" w:lineRule="auto"/>
        <w:ind w:left="0" w:firstLine="0"/>
      </w:pPr>
      <w:r>
        <w:t xml:space="preserve"> </w:t>
      </w:r>
    </w:p>
    <w:p w:rsidR="00B17371" w:rsidRDefault="009804D0">
      <w:pPr>
        <w:pStyle w:val="Heading1"/>
        <w:ind w:left="355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Applicability </w:t>
      </w:r>
    </w:p>
    <w:p w:rsidR="00B17371" w:rsidRDefault="009804D0">
      <w:r>
        <w:t>This procedure applies to any PI planning to submit a g</w:t>
      </w:r>
      <w:r>
        <w:t xml:space="preserve">rant proposal for external funding.  This includes faculty and staff submissions.  If you are planning to submit a grant for student support (i.e. scholarships), please contact OSP to determine if the internal review process will be followed. </w:t>
      </w:r>
    </w:p>
    <w:p w:rsidR="00B17371" w:rsidRDefault="009804D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7371" w:rsidRDefault="009804D0">
      <w:pPr>
        <w:pStyle w:val="Heading1"/>
        <w:ind w:left="355"/>
      </w:pPr>
      <w:r>
        <w:t>III.</w:t>
      </w:r>
      <w:r>
        <w:rPr>
          <w:rFonts w:ascii="Arial" w:eastAsia="Arial" w:hAnsi="Arial" w:cs="Arial"/>
        </w:rPr>
        <w:t xml:space="preserve"> </w:t>
      </w:r>
      <w:r>
        <w:t>Proce</w:t>
      </w:r>
      <w:r>
        <w:t xml:space="preserve">dure Proposal Submission Deadline </w:t>
      </w:r>
    </w:p>
    <w:p w:rsidR="00B17371" w:rsidRDefault="009804D0">
      <w:r>
        <w:t xml:space="preserve">A complete and final version of the proposal, in addition to the fillable </w:t>
      </w:r>
      <w:r>
        <w:rPr>
          <w:b/>
        </w:rPr>
        <w:t>Internal Review Form (IRF)</w:t>
      </w:r>
      <w:r>
        <w:t>, must be received by OSP a minimum of five business days prior to the sponsor’s submission deadline.  The Sponsored Prog</w:t>
      </w:r>
      <w:r>
        <w:t xml:space="preserve">rams office will </w:t>
      </w:r>
    </w:p>
    <w:p w:rsidR="00B17371" w:rsidRDefault="009804D0">
      <w:proofErr w:type="gramStart"/>
      <w:r>
        <w:t>review</w:t>
      </w:r>
      <w:proofErr w:type="gramEnd"/>
      <w:r>
        <w:t xml:space="preserve"> the IRF packet and will then circulate it for appropriate internal approvals from the OSP Director, Grants Accountant, Controller, Department Chair and College Dean.     </w:t>
      </w:r>
    </w:p>
    <w:p w:rsidR="00B17371" w:rsidRDefault="009804D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7371" w:rsidRDefault="009804D0">
      <w:r>
        <w:t>The following items will ensure a smooth submission proces</w:t>
      </w:r>
      <w:r>
        <w:t xml:space="preserve">s for our PIs: </w:t>
      </w:r>
    </w:p>
    <w:p w:rsidR="00B17371" w:rsidRDefault="009804D0">
      <w:pPr>
        <w:spacing w:after="0" w:line="259" w:lineRule="auto"/>
        <w:ind w:left="0" w:firstLine="0"/>
      </w:pPr>
      <w:r>
        <w:t xml:space="preserve"> </w:t>
      </w:r>
    </w:p>
    <w:p w:rsidR="00B17371" w:rsidRDefault="009804D0">
      <w:pPr>
        <w:pStyle w:val="Heading1"/>
        <w:ind w:left="70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Successful on-time submission of proposals to OSP for internal review a minimum of five (5) business days prior to the sponsor’s submission deadline    </w:t>
      </w:r>
    </w:p>
    <w:p w:rsidR="00B17371" w:rsidRDefault="009804D0">
      <w:pPr>
        <w:ind w:left="775"/>
      </w:pPr>
      <w:r>
        <w:t xml:space="preserve">Adherence to this internal deadline ensures that each proposal will receive a </w:t>
      </w:r>
      <w:r>
        <w:t xml:space="preserve">complete review, including: </w:t>
      </w:r>
    </w:p>
    <w:p w:rsidR="00B17371" w:rsidRDefault="009804D0">
      <w:pPr>
        <w:numPr>
          <w:ilvl w:val="0"/>
          <w:numId w:val="1"/>
        </w:numPr>
        <w:ind w:hanging="360"/>
      </w:pPr>
      <w:r>
        <w:t>Review of the budget and budget narrative for accuracy and alignment with sponsor requirements for allowable/non-allowable costs and with institutional requirements for indirect and fringe benefit rates</w:t>
      </w:r>
      <w:r>
        <w:rPr>
          <w:b/>
        </w:rPr>
        <w:t xml:space="preserve"> </w:t>
      </w:r>
    </w:p>
    <w:p w:rsidR="00B17371" w:rsidRDefault="009804D0">
      <w:pPr>
        <w:numPr>
          <w:ilvl w:val="0"/>
          <w:numId w:val="1"/>
        </w:numPr>
        <w:ind w:hanging="360"/>
      </w:pPr>
      <w:r>
        <w:t>Ensuring personnel sala</w:t>
      </w:r>
      <w:r>
        <w:t>ry/wages and effort toward the project are accurate and approved by the home department</w:t>
      </w:r>
      <w:r>
        <w:rPr>
          <w:b/>
        </w:rPr>
        <w:t xml:space="preserve"> </w:t>
      </w:r>
    </w:p>
    <w:p w:rsidR="00B17371" w:rsidRDefault="009804D0">
      <w:pPr>
        <w:numPr>
          <w:ilvl w:val="0"/>
          <w:numId w:val="1"/>
        </w:numPr>
        <w:ind w:hanging="360"/>
      </w:pPr>
      <w:r>
        <w:t>Appropriate information included in the scope of work, aims and project timeline; Scope of work aligns with the sponsor’s current funding priorities</w:t>
      </w:r>
      <w:r>
        <w:rPr>
          <w:b/>
        </w:rPr>
        <w:t xml:space="preserve"> </w:t>
      </w:r>
    </w:p>
    <w:p w:rsidR="00B17371" w:rsidRDefault="009804D0">
      <w:pPr>
        <w:numPr>
          <w:ilvl w:val="0"/>
          <w:numId w:val="1"/>
        </w:numPr>
        <w:ind w:hanging="360"/>
      </w:pPr>
      <w:r>
        <w:t xml:space="preserve">Proposal aligns </w:t>
      </w:r>
      <w:r>
        <w:t>with sponsor requirements for formatting (font, page layout, page number, etc.)</w:t>
      </w:r>
      <w:r>
        <w:rPr>
          <w:b/>
        </w:rPr>
        <w:t xml:space="preserve"> </w:t>
      </w:r>
    </w:p>
    <w:p w:rsidR="00B17371" w:rsidRDefault="009804D0">
      <w:pPr>
        <w:numPr>
          <w:ilvl w:val="0"/>
          <w:numId w:val="1"/>
        </w:numPr>
        <w:ind w:hanging="360"/>
      </w:pPr>
      <w:r>
        <w:t>Allowing OSP staff to notify the PI of any requested revisions or calls for additional information</w:t>
      </w:r>
      <w:r>
        <w:rPr>
          <w:b/>
        </w:rPr>
        <w:t xml:space="preserve"> </w:t>
      </w:r>
    </w:p>
    <w:p w:rsidR="00B17371" w:rsidRDefault="009804D0">
      <w:pPr>
        <w:spacing w:after="0" w:line="259" w:lineRule="auto"/>
        <w:ind w:left="0" w:firstLine="0"/>
      </w:pPr>
      <w:r>
        <w:t xml:space="preserve"> </w:t>
      </w:r>
    </w:p>
    <w:p w:rsidR="00B17371" w:rsidRDefault="009804D0">
      <w:pPr>
        <w:pStyle w:val="Heading1"/>
        <w:spacing w:after="439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Maintain fairness amongst grant-seeking PIs </w:t>
      </w:r>
    </w:p>
    <w:p w:rsidR="00B17371" w:rsidRDefault="009804D0">
      <w:pPr>
        <w:spacing w:after="215" w:line="259" w:lineRule="auto"/>
        <w:ind w:left="-5"/>
      </w:pPr>
      <w:r>
        <w:rPr>
          <w:sz w:val="20"/>
        </w:rPr>
        <w:t>S:\Grants &amp; Faculty Devel</w:t>
      </w:r>
      <w:r>
        <w:rPr>
          <w:sz w:val="20"/>
        </w:rPr>
        <w:t>opment\Office Policies &amp; Procedures\OSP Procedures</w:t>
      </w:r>
      <w:r>
        <w:rPr>
          <w:sz w:val="24"/>
        </w:rPr>
        <w:t xml:space="preserve"> </w:t>
      </w:r>
    </w:p>
    <w:p w:rsidR="00B17371" w:rsidRDefault="009804D0">
      <w:pPr>
        <w:ind w:left="775"/>
      </w:pPr>
      <w:r>
        <w:t xml:space="preserve">Adherence to the internal submission deadline ensures that all faculty receive appropriate pre-award assistance and proposal review from OSP staff. </w:t>
      </w:r>
    </w:p>
    <w:p w:rsidR="00B17371" w:rsidRDefault="009804D0">
      <w:pPr>
        <w:spacing w:after="0" w:line="259" w:lineRule="auto"/>
        <w:ind w:left="780" w:firstLine="0"/>
      </w:pPr>
      <w:r>
        <w:rPr>
          <w:b/>
        </w:rPr>
        <w:t xml:space="preserve"> </w:t>
      </w:r>
    </w:p>
    <w:p w:rsidR="00B17371" w:rsidRDefault="009804D0">
      <w:pPr>
        <w:pStyle w:val="Heading1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Institutional compliance </w:t>
      </w:r>
    </w:p>
    <w:p w:rsidR="00B17371" w:rsidRDefault="009804D0">
      <w:pPr>
        <w:ind w:left="775"/>
      </w:pPr>
      <w:r>
        <w:t>It is essential that the</w:t>
      </w:r>
      <w:r>
        <w:t xml:space="preserve"> University takes appropriate measures to address federal-wide and sponsor-driven submission requirements surrounding any research conducted with: </w:t>
      </w:r>
    </w:p>
    <w:p w:rsidR="00B17371" w:rsidRDefault="009804D0">
      <w:pPr>
        <w:numPr>
          <w:ilvl w:val="0"/>
          <w:numId w:val="2"/>
        </w:numPr>
        <w:ind w:left="1500" w:hanging="360"/>
      </w:pPr>
      <w:r>
        <w:t xml:space="preserve">Human subjects </w:t>
      </w:r>
      <w:r>
        <w:rPr>
          <w:b/>
        </w:rPr>
        <w:t xml:space="preserve"> </w:t>
      </w:r>
    </w:p>
    <w:p w:rsidR="00B17371" w:rsidRDefault="009804D0">
      <w:pPr>
        <w:numPr>
          <w:ilvl w:val="0"/>
          <w:numId w:val="2"/>
        </w:numPr>
        <w:ind w:left="1500" w:hanging="360"/>
      </w:pPr>
      <w:r>
        <w:t xml:space="preserve">Animal subjects </w:t>
      </w:r>
      <w:r>
        <w:rPr>
          <w:b/>
        </w:rPr>
        <w:t xml:space="preserve"> </w:t>
      </w:r>
    </w:p>
    <w:p w:rsidR="00B17371" w:rsidRDefault="009804D0">
      <w:pPr>
        <w:numPr>
          <w:ilvl w:val="0"/>
          <w:numId w:val="2"/>
        </w:numPr>
        <w:ind w:left="1500" w:hanging="360"/>
      </w:pPr>
      <w:r>
        <w:t>Biohazardous materials or rDNA</w:t>
      </w:r>
      <w:r>
        <w:rPr>
          <w:b/>
        </w:rPr>
        <w:t xml:space="preserve"> </w:t>
      </w:r>
    </w:p>
    <w:p w:rsidR="00B17371" w:rsidRDefault="009804D0">
      <w:pPr>
        <w:numPr>
          <w:ilvl w:val="0"/>
          <w:numId w:val="2"/>
        </w:numPr>
        <w:ind w:left="1500" w:hanging="360"/>
      </w:pPr>
      <w:r>
        <w:t>Financial Conflict of Interest (FCOI)-For</w:t>
      </w:r>
      <w:r>
        <w:t xml:space="preserve"> individuals requesting federally-derived funding</w:t>
      </w:r>
      <w:r>
        <w:rPr>
          <w:b/>
        </w:rPr>
        <w:t xml:space="preserve"> </w:t>
      </w:r>
    </w:p>
    <w:p w:rsidR="00B17371" w:rsidRDefault="009804D0">
      <w:pPr>
        <w:numPr>
          <w:ilvl w:val="0"/>
          <w:numId w:val="2"/>
        </w:numPr>
        <w:ind w:left="1500" w:hanging="360"/>
      </w:pPr>
      <w:r>
        <w:t xml:space="preserve">Responsible Conduct in Research (RCR)-For student wages funded with NSF-derived money </w:t>
      </w:r>
    </w:p>
    <w:p w:rsidR="00B17371" w:rsidRDefault="009804D0">
      <w:pPr>
        <w:spacing w:after="0" w:line="259" w:lineRule="auto"/>
        <w:ind w:left="0" w:firstLine="0"/>
      </w:pPr>
      <w:r>
        <w:t xml:space="preserve"> </w:t>
      </w:r>
    </w:p>
    <w:p w:rsidR="00B17371" w:rsidRDefault="009804D0">
      <w:r>
        <w:t xml:space="preserve">Adherence to internal submission deadlines ensures OSP staff have reviewed the proposal for research compliance, as </w:t>
      </w:r>
      <w:r>
        <w:t xml:space="preserve">applicable. </w:t>
      </w:r>
    </w:p>
    <w:p w:rsidR="00B17371" w:rsidRDefault="009804D0">
      <w:pPr>
        <w:spacing w:after="22" w:line="259" w:lineRule="auto"/>
        <w:ind w:left="720" w:firstLine="0"/>
      </w:pPr>
      <w:r>
        <w:rPr>
          <w:sz w:val="18"/>
        </w:rPr>
        <w:t xml:space="preserve"> </w:t>
      </w:r>
    </w:p>
    <w:p w:rsidR="00B17371" w:rsidRDefault="009804D0">
      <w:pPr>
        <w:spacing w:after="10"/>
      </w:pPr>
      <w:r>
        <w:rPr>
          <w:b/>
        </w:rPr>
        <w:t xml:space="preserve">Short Lead Times:   </w:t>
      </w:r>
    </w:p>
    <w:p w:rsidR="00B17371" w:rsidRDefault="009804D0">
      <w:r>
        <w:t xml:space="preserve">OSP staff will make best attempts to assist a PI who submits a proposal less than five business days prior to the sponsor’s deadline.     </w:t>
      </w:r>
    </w:p>
    <w:p w:rsidR="00B17371" w:rsidRDefault="009804D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7371" w:rsidRDefault="009804D0">
      <w:pPr>
        <w:numPr>
          <w:ilvl w:val="0"/>
          <w:numId w:val="2"/>
        </w:numPr>
        <w:ind w:left="1500" w:hanging="360"/>
      </w:pPr>
      <w:r>
        <w:rPr>
          <w:b/>
          <w:u w:val="single" w:color="000000"/>
        </w:rPr>
        <w:t>Less than 5 Business Day Lead Time</w:t>
      </w:r>
      <w:r>
        <w:t xml:space="preserve">:  Proposals submitted to OSP with less than </w:t>
      </w:r>
      <w:r>
        <w:t>five (5) business days prior to the sponsor’s deadline will be reviewed as time allows.  Staff will attempt to perform a minimal internal review of the budget and proposed institutional commitments and will submit the application prior to the deadline.  Th</w:t>
      </w:r>
      <w:r>
        <w:t xml:space="preserve">e IRF must still accompany the proposal for review. </w:t>
      </w:r>
    </w:p>
    <w:p w:rsidR="00B17371" w:rsidRDefault="009804D0">
      <w:pPr>
        <w:numPr>
          <w:ilvl w:val="0"/>
          <w:numId w:val="2"/>
        </w:numPr>
        <w:ind w:left="1500" w:hanging="360"/>
      </w:pPr>
      <w:r>
        <w:rPr>
          <w:b/>
          <w:u w:val="single" w:color="000000"/>
        </w:rPr>
        <w:t>Day of Deadline Lead Time:</w:t>
      </w:r>
      <w:r>
        <w:t xml:space="preserve">  The OSP Director will decide whether to submit the application to the sponsor.  The Director may decide to submit the application without internal review to ensure submission </w:t>
      </w:r>
      <w:r>
        <w:t xml:space="preserve">prior to the sponsor’s deadline.  OSP staff will attempt to remedy any electronic submission issues or errors as time allows.   </w:t>
      </w:r>
    </w:p>
    <w:p w:rsidR="00B17371" w:rsidRDefault="009804D0">
      <w:pPr>
        <w:numPr>
          <w:ilvl w:val="0"/>
          <w:numId w:val="2"/>
        </w:numPr>
        <w:ind w:left="1500" w:hanging="360"/>
      </w:pPr>
      <w:r>
        <w:rPr>
          <w:b/>
          <w:u w:val="single" w:color="000000"/>
        </w:rPr>
        <w:t>Non-Routing for Internal Review:</w:t>
      </w:r>
      <w:r>
        <w:t xml:space="preserve">  OSP staff cannot guarantee sponsor acceptance of the application package if a PI does not sen</w:t>
      </w:r>
      <w:r>
        <w:t xml:space="preserve">d their proposal through the internal review process (see SOP #2:  </w:t>
      </w:r>
      <w:r>
        <w:rPr>
          <w:b/>
          <w:i/>
        </w:rPr>
        <w:t xml:space="preserve">Internal Review and </w:t>
      </w:r>
    </w:p>
    <w:p w:rsidR="00B17371" w:rsidRDefault="009804D0">
      <w:pPr>
        <w:ind w:left="775"/>
      </w:pPr>
      <w:r>
        <w:rPr>
          <w:b/>
          <w:i/>
        </w:rPr>
        <w:t>Signature Routing</w:t>
      </w:r>
      <w:r>
        <w:t>).  In the event of an award, the OSP Director will make a decision whether to accept the award on behalf of UW Oshkosh.  If accepted, the PI and depar</w:t>
      </w:r>
      <w:r>
        <w:t xml:space="preserve">tment may be asked to accept responsibility for any inaccuracies noted within the terms of award (incorrect or missing fringe or indirect rates, under-budgeting, etc.).   </w:t>
      </w:r>
    </w:p>
    <w:p w:rsidR="00B17371" w:rsidRDefault="009804D0">
      <w:pPr>
        <w:spacing w:after="0" w:line="259" w:lineRule="auto"/>
        <w:ind w:left="0" w:firstLine="0"/>
      </w:pPr>
      <w:r>
        <w:t xml:space="preserve"> </w:t>
      </w:r>
    </w:p>
    <w:p w:rsidR="00B17371" w:rsidRDefault="009804D0">
      <w:pPr>
        <w:ind w:left="775" w:right="5057"/>
      </w:pPr>
      <w:r>
        <w:rPr>
          <w:u w:val="single" w:color="000000"/>
        </w:rPr>
        <w:t>Examples of why an award may not be accepted include: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Incorrect or missing </w:t>
      </w:r>
      <w:r>
        <w:t xml:space="preserve">fringe benefit </w:t>
      </w:r>
      <w:proofErr w:type="gramStart"/>
      <w:r>
        <w:t xml:space="preserve">rates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Incorrect or missing indirect rates </w:t>
      </w:r>
    </w:p>
    <w:p w:rsidR="00B17371" w:rsidRDefault="009804D0">
      <w:pPr>
        <w:ind w:left="775" w:right="2305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PI over-commitment of effort over all institutional responsibilities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Commitment to activities or services that the institution is unable to meet or deliver. </w:t>
      </w:r>
    </w:p>
    <w:p w:rsidR="00B17371" w:rsidRDefault="009804D0">
      <w:pPr>
        <w:spacing w:after="0" w:line="259" w:lineRule="auto"/>
        <w:ind w:left="0" w:firstLine="0"/>
      </w:pPr>
      <w:r>
        <w:t xml:space="preserve"> </w:t>
      </w:r>
    </w:p>
    <w:p w:rsidR="00B17371" w:rsidRDefault="009804D0">
      <w:pPr>
        <w:numPr>
          <w:ilvl w:val="0"/>
          <w:numId w:val="3"/>
        </w:numPr>
        <w:spacing w:after="10"/>
        <w:ind w:hanging="360"/>
      </w:pPr>
      <w:r>
        <w:rPr>
          <w:b/>
        </w:rPr>
        <w:t>Guidance Documents 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See SOP #</w:t>
      </w:r>
      <w:r>
        <w:rPr>
          <w:b/>
        </w:rPr>
        <w:t xml:space="preserve">2:  Internal Review and Signature Routing </w:t>
      </w:r>
    </w:p>
    <w:p w:rsidR="00B17371" w:rsidRDefault="009804D0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:rsidR="00B17371" w:rsidRDefault="009804D0">
      <w:pPr>
        <w:numPr>
          <w:ilvl w:val="0"/>
          <w:numId w:val="3"/>
        </w:numPr>
        <w:spacing w:after="10"/>
        <w:ind w:hanging="360"/>
      </w:pPr>
      <w:r>
        <w:rPr>
          <w:b/>
        </w:rPr>
        <w:t xml:space="preserve">Templates/Forms </w:t>
      </w:r>
    </w:p>
    <w:p w:rsidR="00B17371" w:rsidRDefault="009804D0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B17371" w:rsidRDefault="009804D0">
      <w:pPr>
        <w:pStyle w:val="Heading1"/>
        <w:ind w:left="355"/>
      </w:pPr>
      <w:r>
        <w:t>VI.</w:t>
      </w:r>
      <w:r>
        <w:rPr>
          <w:rFonts w:ascii="Arial" w:eastAsia="Arial" w:hAnsi="Arial" w:cs="Arial"/>
        </w:rPr>
        <w:t xml:space="preserve"> </w:t>
      </w:r>
      <w:r>
        <w:t xml:space="preserve">Definitions </w:t>
      </w:r>
    </w:p>
    <w:p w:rsidR="00B17371" w:rsidRDefault="009804D0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B17371" w:rsidRDefault="009804D0">
      <w:pPr>
        <w:numPr>
          <w:ilvl w:val="0"/>
          <w:numId w:val="4"/>
        </w:numPr>
        <w:ind w:right="3634" w:hanging="720"/>
      </w:pPr>
      <w:r>
        <w:rPr>
          <w:b/>
        </w:rPr>
        <w:t xml:space="preserve">Contact Information: </w:t>
      </w:r>
      <w:r>
        <w:t xml:space="preserve"> For questions or comments please contact OSP at OSP@uwosh.edu 920-424-3215 </w:t>
      </w:r>
    </w:p>
    <w:p w:rsidR="00B17371" w:rsidRDefault="009804D0">
      <w:pPr>
        <w:spacing w:after="0" w:line="259" w:lineRule="auto"/>
        <w:ind w:left="1080" w:firstLine="0"/>
      </w:pPr>
      <w:r>
        <w:t xml:space="preserve"> </w:t>
      </w:r>
    </w:p>
    <w:p w:rsidR="00B17371" w:rsidRDefault="009804D0">
      <w:pPr>
        <w:numPr>
          <w:ilvl w:val="0"/>
          <w:numId w:val="4"/>
        </w:numPr>
        <w:ind w:right="3634" w:hanging="720"/>
      </w:pPr>
      <w:r>
        <w:rPr>
          <w:b/>
        </w:rPr>
        <w:t>Revision History:</w:t>
      </w:r>
      <w:r>
        <w:t xml:space="preserve"> Created:  12/20/18 </w:t>
      </w:r>
    </w:p>
    <w:p w:rsidR="00B17371" w:rsidRDefault="009804D0">
      <w:pPr>
        <w:spacing w:after="1448"/>
        <w:ind w:left="1090"/>
      </w:pPr>
      <w:r>
        <w:t xml:space="preserve">Reviewed:  2/14/19 </w:t>
      </w:r>
    </w:p>
    <w:p w:rsidR="00B17371" w:rsidRDefault="009804D0">
      <w:pPr>
        <w:spacing w:after="215" w:line="259" w:lineRule="auto"/>
        <w:ind w:left="-5"/>
      </w:pPr>
      <w:r>
        <w:rPr>
          <w:sz w:val="20"/>
        </w:rPr>
        <w:t xml:space="preserve">S:\Grants &amp; </w:t>
      </w:r>
      <w:r>
        <w:rPr>
          <w:sz w:val="20"/>
        </w:rPr>
        <w:t>Faculty Development\Office Policies &amp; Procedures\OSP Procedures</w:t>
      </w:r>
      <w:r>
        <w:rPr>
          <w:sz w:val="24"/>
        </w:rPr>
        <w:t xml:space="preserve"> </w:t>
      </w:r>
    </w:p>
    <w:sectPr w:rsidR="00B17371" w:rsidSect="003653AE">
      <w:pgSz w:w="12240" w:h="20160" w:code="5"/>
      <w:pgMar w:top="722" w:right="725" w:bottom="723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26E7"/>
    <w:multiLevelType w:val="hybridMultilevel"/>
    <w:tmpl w:val="63A89AD0"/>
    <w:lvl w:ilvl="0" w:tplc="BFFE28C6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4AE5C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4B5A8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05CE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8B460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6A020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821C4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A816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A0E34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509F0"/>
    <w:multiLevelType w:val="hybridMultilevel"/>
    <w:tmpl w:val="FFB69D50"/>
    <w:lvl w:ilvl="0" w:tplc="890859B2">
      <w:start w:val="1"/>
      <w:numFmt w:val="bullet"/>
      <w:lvlText w:val="•"/>
      <w:lvlJc w:val="left"/>
      <w:pPr>
        <w:ind w:left="1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C5ACE">
      <w:start w:val="1"/>
      <w:numFmt w:val="bullet"/>
      <w:lvlText w:val="o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EB1A8">
      <w:start w:val="1"/>
      <w:numFmt w:val="bullet"/>
      <w:lvlText w:val="▪"/>
      <w:lvlJc w:val="left"/>
      <w:pPr>
        <w:ind w:left="2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E8C1A">
      <w:start w:val="1"/>
      <w:numFmt w:val="bullet"/>
      <w:lvlText w:val="•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20774">
      <w:start w:val="1"/>
      <w:numFmt w:val="bullet"/>
      <w:lvlText w:val="o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09308">
      <w:start w:val="1"/>
      <w:numFmt w:val="bullet"/>
      <w:lvlText w:val="▪"/>
      <w:lvlJc w:val="left"/>
      <w:pPr>
        <w:ind w:left="4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C0F42">
      <w:start w:val="1"/>
      <w:numFmt w:val="bullet"/>
      <w:lvlText w:val="•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21C36">
      <w:start w:val="1"/>
      <w:numFmt w:val="bullet"/>
      <w:lvlText w:val="o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8CF730">
      <w:start w:val="1"/>
      <w:numFmt w:val="bullet"/>
      <w:lvlText w:val="▪"/>
      <w:lvlJc w:val="left"/>
      <w:pPr>
        <w:ind w:left="6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54469B"/>
    <w:multiLevelType w:val="hybridMultilevel"/>
    <w:tmpl w:val="C0AAEA92"/>
    <w:lvl w:ilvl="0" w:tplc="A0EE54EE">
      <w:start w:val="4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E29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62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428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EDD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D28B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D6E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661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674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04D56"/>
    <w:multiLevelType w:val="hybridMultilevel"/>
    <w:tmpl w:val="24309418"/>
    <w:lvl w:ilvl="0" w:tplc="CCDC8D72">
      <w:start w:val="7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CD7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2C8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CC2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E83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6BD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63D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C8A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690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1"/>
    <w:rsid w:val="002A42F5"/>
    <w:rsid w:val="003653AE"/>
    <w:rsid w:val="009804D0"/>
    <w:rsid w:val="00987243"/>
    <w:rsid w:val="00B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40605-41BD-40E7-9693-5422B73F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8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Leah</dc:creator>
  <cp:keywords/>
  <cp:lastModifiedBy>Batton, Amarra</cp:lastModifiedBy>
  <cp:revision>2</cp:revision>
  <dcterms:created xsi:type="dcterms:W3CDTF">2019-02-25T21:35:00Z</dcterms:created>
  <dcterms:modified xsi:type="dcterms:W3CDTF">2019-02-25T21:35:00Z</dcterms:modified>
</cp:coreProperties>
</file>