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DFA0" w14:textId="77777777" w:rsidR="002C4B22" w:rsidRPr="000903D3" w:rsidRDefault="002C4B22" w:rsidP="002C4B22">
      <w:pPr>
        <w:pStyle w:val="Header"/>
        <w:rPr>
          <w:b/>
          <w:color w:val="1F3864" w:themeColor="accent5" w:themeShade="80"/>
          <w:sz w:val="28"/>
          <w:szCs w:val="28"/>
          <w:u w:val="single"/>
        </w:rPr>
      </w:pPr>
      <w:r w:rsidRPr="000903D3">
        <w:rPr>
          <w:b/>
          <w:color w:val="1F3864" w:themeColor="accent5" w:themeShade="80"/>
          <w:sz w:val="28"/>
          <w:szCs w:val="28"/>
          <w:u w:val="single"/>
        </w:rPr>
        <w:t>Instructions for Collaborative Institutional Training Initiative (CITI) Training: Biosafety Training</w:t>
      </w:r>
    </w:p>
    <w:p w14:paraId="0B11DF49" w14:textId="77777777" w:rsidR="002C4B22" w:rsidRDefault="002C4B22" w:rsidP="002C4B22">
      <w:pPr>
        <w:pStyle w:val="Header"/>
      </w:pPr>
    </w:p>
    <w:p w14:paraId="47AFA50C" w14:textId="77777777" w:rsidR="002C4B22" w:rsidRPr="00DD5EFF" w:rsidRDefault="002C4B22" w:rsidP="00D17102">
      <w:pPr>
        <w:pStyle w:val="Header"/>
        <w:numPr>
          <w:ilvl w:val="0"/>
          <w:numId w:val="1"/>
        </w:numPr>
      </w:pPr>
      <w:r w:rsidRPr="00DD5EFF">
        <w:t xml:space="preserve">The training is found at </w:t>
      </w:r>
      <w:hyperlink r:id="rId5" w:history="1">
        <w:r w:rsidRPr="00DD5EFF">
          <w:rPr>
            <w:rStyle w:val="Hyperlink"/>
          </w:rPr>
          <w:t>www.citiprogram.org</w:t>
        </w:r>
      </w:hyperlink>
      <w:r w:rsidRPr="00DD5EFF">
        <w:t xml:space="preserve">. </w:t>
      </w:r>
      <w:r w:rsidR="00E11A2B">
        <w:t xml:space="preserve">  </w:t>
      </w:r>
      <w:r w:rsidRPr="00DD5EFF">
        <w:t xml:space="preserve">University of Wisconsin Oshkosh is an affiliated organization with a paid subscription. </w:t>
      </w:r>
    </w:p>
    <w:p w14:paraId="385B99AC" w14:textId="77777777" w:rsidR="00A14ABD" w:rsidRDefault="00A14ABD" w:rsidP="00A14ABD">
      <w:pPr>
        <w:pStyle w:val="Header"/>
        <w:numPr>
          <w:ilvl w:val="0"/>
          <w:numId w:val="1"/>
        </w:numPr>
      </w:pPr>
      <w:r>
        <w:t xml:space="preserve">To create an account for a </w:t>
      </w:r>
      <w:proofErr w:type="gramStart"/>
      <w:r>
        <w:t>first time</w:t>
      </w:r>
      <w:proofErr w:type="gramEnd"/>
      <w:r>
        <w:t xml:space="preserve"> user, take the following steps:</w:t>
      </w:r>
    </w:p>
    <w:p w14:paraId="2D232CEF" w14:textId="77777777" w:rsidR="00A14ABD" w:rsidRDefault="00A14ABD" w:rsidP="00A14ABD">
      <w:pPr>
        <w:pStyle w:val="Header"/>
        <w:numPr>
          <w:ilvl w:val="1"/>
          <w:numId w:val="1"/>
        </w:numPr>
      </w:pPr>
      <w:r>
        <w:t>S</w:t>
      </w:r>
      <w:r w:rsidR="002C4B22" w:rsidRPr="00DD5EFF">
        <w:t xml:space="preserve">elect: </w:t>
      </w:r>
      <w:r w:rsidR="002C4B22" w:rsidRPr="00A14ABD">
        <w:rPr>
          <w:u w:val="single"/>
        </w:rPr>
        <w:t>Register</w:t>
      </w:r>
      <w:r w:rsidR="005613F5">
        <w:t>.</w:t>
      </w:r>
      <w:r w:rsidR="00536B56">
        <w:t xml:space="preserve">  </w:t>
      </w:r>
    </w:p>
    <w:p w14:paraId="397F914F" w14:textId="77777777" w:rsidR="002C4B22" w:rsidRDefault="00536B56" w:rsidP="00A14ABD">
      <w:pPr>
        <w:pStyle w:val="Header"/>
        <w:numPr>
          <w:ilvl w:val="1"/>
          <w:numId w:val="1"/>
        </w:numPr>
      </w:pPr>
      <w:r>
        <w:t xml:space="preserve">Select your </w:t>
      </w:r>
      <w:r w:rsidRPr="00D9451F">
        <w:rPr>
          <w:u w:val="single"/>
        </w:rPr>
        <w:t>Organization Affiliation</w:t>
      </w:r>
      <w:r>
        <w:t xml:space="preserve">: </w:t>
      </w:r>
      <w:r w:rsidR="00A14ABD" w:rsidRPr="00A14ABD">
        <w:t>University of Wisconsin Oshkosh</w:t>
      </w:r>
      <w:r w:rsidR="00F231D5">
        <w:t xml:space="preserve"> and agree to the terms of service.</w:t>
      </w:r>
    </w:p>
    <w:p w14:paraId="6DF65E49" w14:textId="73919407" w:rsidR="00825FFC" w:rsidRDefault="002D36AD" w:rsidP="00467124">
      <w:pPr>
        <w:pStyle w:val="Header"/>
        <w:numPr>
          <w:ilvl w:val="1"/>
          <w:numId w:val="1"/>
        </w:numPr>
      </w:pPr>
      <w:r>
        <w:t>Select: Continue to Create your CITI Program Username/Password</w:t>
      </w:r>
      <w:r w:rsidR="00EC20CC">
        <w:t xml:space="preserve"> and complete the account creation process.</w:t>
      </w:r>
    </w:p>
    <w:p w14:paraId="32E8C7E8" w14:textId="37DD3239" w:rsidR="00A92A81" w:rsidRDefault="00A92A81" w:rsidP="00467124">
      <w:pPr>
        <w:pStyle w:val="Header"/>
        <w:numPr>
          <w:ilvl w:val="1"/>
          <w:numId w:val="1"/>
        </w:numPr>
      </w:pPr>
      <w:r>
        <w:t>Once you create your CITI account, you will be asked some questions about your role in the laboratory which will determine which courses to complete.  You can access additional instructions in your ‘Learner Tools’ section.</w:t>
      </w:r>
    </w:p>
    <w:p w14:paraId="1F8C0784" w14:textId="77777777" w:rsidR="003E60CA" w:rsidRDefault="00EC20CC" w:rsidP="00A90D49">
      <w:pPr>
        <w:pStyle w:val="Header"/>
        <w:numPr>
          <w:ilvl w:val="0"/>
          <w:numId w:val="1"/>
        </w:numPr>
      </w:pPr>
      <w:r>
        <w:t xml:space="preserve">If you have an </w:t>
      </w:r>
      <w:r w:rsidR="00832A30">
        <w:t>existing account</w:t>
      </w:r>
      <w:r w:rsidR="003E60CA">
        <w:t xml:space="preserve">, select </w:t>
      </w:r>
      <w:r w:rsidR="003E60CA" w:rsidRPr="005B56C2">
        <w:rPr>
          <w:u w:val="single"/>
        </w:rPr>
        <w:t xml:space="preserve">Log </w:t>
      </w:r>
      <w:proofErr w:type="gramStart"/>
      <w:r w:rsidR="003E60CA" w:rsidRPr="005B56C2">
        <w:rPr>
          <w:u w:val="single"/>
        </w:rPr>
        <w:t>In</w:t>
      </w:r>
      <w:proofErr w:type="gramEnd"/>
      <w:r w:rsidR="003E60CA" w:rsidRPr="00A40D2D">
        <w:t xml:space="preserve"> </w:t>
      </w:r>
      <w:r w:rsidR="00A40D2D" w:rsidRPr="00A40D2D">
        <w:t>from the CITI Homepage</w:t>
      </w:r>
      <w:r w:rsidR="008B3820" w:rsidRPr="008B3820">
        <w:t xml:space="preserve"> </w:t>
      </w:r>
      <w:r w:rsidR="003E60CA" w:rsidRPr="003E60CA">
        <w:t>and enter your username and password.</w:t>
      </w:r>
      <w:r w:rsidR="003E60CA">
        <w:t xml:space="preserve"> </w:t>
      </w:r>
      <w:r w:rsidR="005B56C2">
        <w:t xml:space="preserve"> </w:t>
      </w:r>
      <w:r w:rsidR="003E60CA">
        <w:t>(Note UW Oshkosh does not have the</w:t>
      </w:r>
      <w:r w:rsidR="00060CCE">
        <w:t xml:space="preserve"> single sign-on</w:t>
      </w:r>
      <w:r w:rsidR="003E60CA">
        <w:t xml:space="preserve"> </w:t>
      </w:r>
      <w:r w:rsidR="003E60CA" w:rsidRPr="00060CCE">
        <w:rPr>
          <w:u w:val="single"/>
        </w:rPr>
        <w:t xml:space="preserve">Log </w:t>
      </w:r>
      <w:proofErr w:type="gramStart"/>
      <w:r w:rsidR="003E60CA" w:rsidRPr="00060CCE">
        <w:rPr>
          <w:u w:val="single"/>
        </w:rPr>
        <w:t>In</w:t>
      </w:r>
      <w:proofErr w:type="gramEnd"/>
      <w:r w:rsidR="003E60CA" w:rsidRPr="00060CCE">
        <w:rPr>
          <w:u w:val="single"/>
        </w:rPr>
        <w:t xml:space="preserve"> Through my Institution</w:t>
      </w:r>
      <w:r w:rsidR="00A40D2D">
        <w:t xml:space="preserve"> feature)</w:t>
      </w:r>
      <w:r>
        <w:t>.</w:t>
      </w:r>
    </w:p>
    <w:p w14:paraId="5A090321" w14:textId="77777777" w:rsidR="00614DF4" w:rsidRDefault="00614DF4" w:rsidP="00FB3511">
      <w:pPr>
        <w:pStyle w:val="Header"/>
        <w:numPr>
          <w:ilvl w:val="0"/>
          <w:numId w:val="1"/>
        </w:numPr>
      </w:pPr>
      <w:r>
        <w:t xml:space="preserve">To determine what </w:t>
      </w:r>
      <w:r w:rsidR="00EC20CC">
        <w:t xml:space="preserve">CITI Program biosafety </w:t>
      </w:r>
      <w:r>
        <w:t>course</w:t>
      </w:r>
      <w:r w:rsidR="00EC20CC">
        <w:t>s</w:t>
      </w:r>
      <w:r>
        <w:t xml:space="preserve"> are required, please review the table below:</w:t>
      </w:r>
    </w:p>
    <w:tbl>
      <w:tblPr>
        <w:tblW w:w="13140"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498"/>
        <w:gridCol w:w="5607"/>
        <w:gridCol w:w="4035"/>
      </w:tblGrid>
      <w:tr w:rsidR="008B3820" w:rsidRPr="008B3820" w14:paraId="7463CC44" w14:textId="77777777" w:rsidTr="005B56C2">
        <w:trPr>
          <w:tblHeader/>
        </w:trPr>
        <w:tc>
          <w:tcPr>
            <w:tcW w:w="2621" w:type="dxa"/>
            <w:tcBorders>
              <w:top w:val="nil"/>
              <w:left w:val="nil"/>
              <w:bottom w:val="single" w:sz="6" w:space="0" w:color="DDDDDD"/>
              <w:right w:val="nil"/>
            </w:tcBorders>
            <w:shd w:val="clear" w:color="auto" w:fill="D9EDF7"/>
            <w:tcMar>
              <w:top w:w="135" w:type="dxa"/>
              <w:left w:w="360" w:type="dxa"/>
              <w:bottom w:w="135" w:type="dxa"/>
              <w:right w:w="360" w:type="dxa"/>
            </w:tcMar>
            <w:vAlign w:val="center"/>
            <w:hideMark/>
          </w:tcPr>
          <w:p w14:paraId="26CA0153" w14:textId="77777777" w:rsidR="008B3820" w:rsidRPr="008B3820" w:rsidRDefault="008B3820" w:rsidP="008B3820">
            <w:pPr>
              <w:spacing w:after="0" w:line="240" w:lineRule="auto"/>
              <w:rPr>
                <w:rFonts w:asciiTheme="majorHAnsi" w:eastAsia="Times New Roman" w:hAnsiTheme="majorHAnsi" w:cstheme="majorHAnsi"/>
                <w:b/>
                <w:bCs/>
                <w:color w:val="555555"/>
              </w:rPr>
            </w:pPr>
            <w:r w:rsidRPr="008B3820">
              <w:rPr>
                <w:rFonts w:asciiTheme="majorHAnsi" w:eastAsia="Times New Roman" w:hAnsiTheme="majorHAnsi" w:cstheme="majorHAnsi"/>
                <w:b/>
                <w:bCs/>
                <w:color w:val="555555"/>
              </w:rPr>
              <w:t>Subject Area</w:t>
            </w:r>
          </w:p>
        </w:tc>
        <w:tc>
          <w:tcPr>
            <w:tcW w:w="3616" w:type="dxa"/>
            <w:tcBorders>
              <w:top w:val="nil"/>
              <w:left w:val="nil"/>
              <w:bottom w:val="single" w:sz="6" w:space="0" w:color="DDDDDD"/>
              <w:right w:val="nil"/>
            </w:tcBorders>
            <w:shd w:val="clear" w:color="auto" w:fill="D9EDF7"/>
            <w:tcMar>
              <w:top w:w="135" w:type="dxa"/>
              <w:left w:w="360" w:type="dxa"/>
              <w:bottom w:w="135" w:type="dxa"/>
              <w:right w:w="360" w:type="dxa"/>
            </w:tcMar>
            <w:vAlign w:val="center"/>
            <w:hideMark/>
          </w:tcPr>
          <w:p w14:paraId="2EA19C0E" w14:textId="77777777" w:rsidR="008B3820" w:rsidRPr="008B3820" w:rsidRDefault="008B3820" w:rsidP="008B3820">
            <w:pPr>
              <w:spacing w:after="0" w:line="240" w:lineRule="auto"/>
              <w:rPr>
                <w:rFonts w:asciiTheme="majorHAnsi" w:eastAsia="Times New Roman" w:hAnsiTheme="majorHAnsi" w:cstheme="majorHAnsi"/>
                <w:b/>
                <w:bCs/>
                <w:color w:val="555555"/>
              </w:rPr>
            </w:pPr>
            <w:r w:rsidRPr="008B3820">
              <w:rPr>
                <w:rFonts w:asciiTheme="majorHAnsi" w:eastAsia="Times New Roman" w:hAnsiTheme="majorHAnsi" w:cstheme="majorHAnsi"/>
                <w:b/>
                <w:bCs/>
                <w:color w:val="555555"/>
              </w:rPr>
              <w:t>Training Requirement(s)</w:t>
            </w:r>
          </w:p>
        </w:tc>
        <w:tc>
          <w:tcPr>
            <w:tcW w:w="6903" w:type="dxa"/>
            <w:tcBorders>
              <w:top w:val="nil"/>
              <w:left w:val="nil"/>
              <w:bottom w:val="single" w:sz="6" w:space="0" w:color="DDDDDD"/>
              <w:right w:val="nil"/>
            </w:tcBorders>
            <w:shd w:val="clear" w:color="auto" w:fill="D9EDF7"/>
            <w:tcMar>
              <w:top w:w="135" w:type="dxa"/>
              <w:left w:w="360" w:type="dxa"/>
              <w:bottom w:w="135" w:type="dxa"/>
              <w:right w:w="360" w:type="dxa"/>
            </w:tcMar>
            <w:vAlign w:val="center"/>
            <w:hideMark/>
          </w:tcPr>
          <w:p w14:paraId="08EC82D5" w14:textId="77777777" w:rsidR="008B3820" w:rsidRPr="008B3820" w:rsidRDefault="008B3820" w:rsidP="008B3820">
            <w:pPr>
              <w:spacing w:after="0" w:line="240" w:lineRule="auto"/>
              <w:rPr>
                <w:rFonts w:asciiTheme="majorHAnsi" w:eastAsia="Times New Roman" w:hAnsiTheme="majorHAnsi" w:cstheme="majorHAnsi"/>
                <w:b/>
                <w:bCs/>
                <w:color w:val="555555"/>
              </w:rPr>
            </w:pPr>
            <w:r w:rsidRPr="008B3820">
              <w:rPr>
                <w:rFonts w:asciiTheme="majorHAnsi" w:eastAsia="Times New Roman" w:hAnsiTheme="majorHAnsi" w:cstheme="majorHAnsi"/>
                <w:b/>
                <w:bCs/>
                <w:color w:val="555555"/>
              </w:rPr>
              <w:t>Details</w:t>
            </w:r>
          </w:p>
        </w:tc>
      </w:tr>
      <w:tr w:rsidR="008B3820" w:rsidRPr="008B3820" w14:paraId="65F7F447" w14:textId="77777777" w:rsidTr="005B56C2">
        <w:tc>
          <w:tcPr>
            <w:tcW w:w="0" w:type="auto"/>
            <w:tcBorders>
              <w:top w:val="nil"/>
              <w:left w:val="nil"/>
              <w:bottom w:val="nil"/>
              <w:right w:val="nil"/>
            </w:tcBorders>
            <w:shd w:val="clear" w:color="auto" w:fill="FFFFFF"/>
            <w:tcMar>
              <w:top w:w="90" w:type="dxa"/>
              <w:left w:w="360" w:type="dxa"/>
              <w:bottom w:w="90" w:type="dxa"/>
              <w:right w:w="360" w:type="dxa"/>
            </w:tcMar>
            <w:hideMark/>
          </w:tcPr>
          <w:p w14:paraId="33A030F5"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BSS: OSHA Bloodborne Pathogens</w:t>
            </w:r>
          </w:p>
        </w:tc>
        <w:tc>
          <w:tcPr>
            <w:tcW w:w="0" w:type="auto"/>
            <w:tcBorders>
              <w:top w:val="nil"/>
              <w:left w:val="nil"/>
              <w:bottom w:val="nil"/>
              <w:right w:val="nil"/>
            </w:tcBorders>
            <w:shd w:val="clear" w:color="auto" w:fill="FFFFFF"/>
            <w:tcMar>
              <w:top w:w="90" w:type="dxa"/>
              <w:left w:w="360" w:type="dxa"/>
              <w:bottom w:w="90" w:type="dxa"/>
              <w:right w:w="360" w:type="dxa"/>
            </w:tcMar>
            <w:hideMark/>
          </w:tcPr>
          <w:p w14:paraId="23830258"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Required when research or teaching activities involve working with human blood or other potentially infectious materials.</w:t>
            </w:r>
          </w:p>
        </w:tc>
        <w:tc>
          <w:tcPr>
            <w:tcW w:w="6903" w:type="dxa"/>
            <w:tcBorders>
              <w:top w:val="nil"/>
              <w:left w:val="nil"/>
              <w:bottom w:val="nil"/>
              <w:right w:val="nil"/>
            </w:tcBorders>
            <w:shd w:val="clear" w:color="auto" w:fill="FFFFFF"/>
            <w:tcMar>
              <w:top w:w="90" w:type="dxa"/>
              <w:left w:w="360" w:type="dxa"/>
              <w:bottom w:w="90" w:type="dxa"/>
              <w:right w:w="360" w:type="dxa"/>
            </w:tcMar>
            <w:hideMark/>
          </w:tcPr>
          <w:p w14:paraId="73FDAD8D"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Annual refresher required.</w:t>
            </w:r>
          </w:p>
        </w:tc>
      </w:tr>
      <w:tr w:rsidR="008B3820" w:rsidRPr="008B3820" w14:paraId="4570F0A2" w14:textId="77777777" w:rsidTr="005B56C2">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746343F2"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BSS: Animal Biosafety</w:t>
            </w:r>
          </w:p>
        </w:tc>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1F329A4B"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Required when research involves biohazardous material use and animals.</w:t>
            </w:r>
          </w:p>
        </w:tc>
        <w:tc>
          <w:tcPr>
            <w:tcW w:w="6903" w:type="dxa"/>
            <w:tcBorders>
              <w:top w:val="single" w:sz="6" w:space="0" w:color="DDDDDD"/>
              <w:left w:val="nil"/>
              <w:bottom w:val="nil"/>
              <w:right w:val="nil"/>
            </w:tcBorders>
            <w:shd w:val="clear" w:color="auto" w:fill="F9F9F9"/>
            <w:tcMar>
              <w:top w:w="90" w:type="dxa"/>
              <w:left w:w="360" w:type="dxa"/>
              <w:bottom w:w="90" w:type="dxa"/>
              <w:right w:w="360" w:type="dxa"/>
            </w:tcMar>
            <w:hideMark/>
          </w:tcPr>
          <w:p w14:paraId="735600FD"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No renewal/refresher required. The initial training is only required. There is no expiration for this training.</w:t>
            </w:r>
          </w:p>
        </w:tc>
      </w:tr>
      <w:tr w:rsidR="008B3820" w:rsidRPr="008B3820" w14:paraId="1116ECF6" w14:textId="77777777" w:rsidTr="005B56C2">
        <w:tc>
          <w:tcPr>
            <w:tcW w:w="0" w:type="auto"/>
            <w:tcBorders>
              <w:top w:val="single" w:sz="6" w:space="0" w:color="DDDDDD"/>
              <w:left w:val="nil"/>
              <w:bottom w:val="nil"/>
              <w:right w:val="nil"/>
            </w:tcBorders>
            <w:shd w:val="clear" w:color="auto" w:fill="FFFFFF"/>
            <w:tcMar>
              <w:top w:w="90" w:type="dxa"/>
              <w:left w:w="360" w:type="dxa"/>
              <w:bottom w:w="90" w:type="dxa"/>
              <w:right w:w="360" w:type="dxa"/>
            </w:tcMar>
            <w:hideMark/>
          </w:tcPr>
          <w:p w14:paraId="18CC411C"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BSS: Initial Biosafety Awareness Training</w:t>
            </w:r>
          </w:p>
        </w:tc>
        <w:tc>
          <w:tcPr>
            <w:tcW w:w="0" w:type="auto"/>
            <w:tcBorders>
              <w:top w:val="single" w:sz="6" w:space="0" w:color="DDDDDD"/>
              <w:left w:val="nil"/>
              <w:bottom w:val="nil"/>
              <w:right w:val="nil"/>
            </w:tcBorders>
            <w:shd w:val="clear" w:color="auto" w:fill="FFFFFF"/>
            <w:tcMar>
              <w:top w:w="90" w:type="dxa"/>
              <w:left w:w="360" w:type="dxa"/>
              <w:bottom w:w="90" w:type="dxa"/>
              <w:right w:w="360" w:type="dxa"/>
            </w:tcMar>
            <w:hideMark/>
          </w:tcPr>
          <w:p w14:paraId="6EEA82DF"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 xml:space="preserve">All faculty, staff, research personnel, or students working with biohazardous materials. </w:t>
            </w:r>
          </w:p>
        </w:tc>
        <w:tc>
          <w:tcPr>
            <w:tcW w:w="6903" w:type="dxa"/>
            <w:tcBorders>
              <w:top w:val="single" w:sz="6" w:space="0" w:color="DDDDDD"/>
              <w:left w:val="nil"/>
              <w:bottom w:val="nil"/>
              <w:right w:val="nil"/>
            </w:tcBorders>
            <w:shd w:val="clear" w:color="auto" w:fill="FFFFFF"/>
            <w:tcMar>
              <w:top w:w="90" w:type="dxa"/>
              <w:left w:w="360" w:type="dxa"/>
              <w:bottom w:w="90" w:type="dxa"/>
              <w:right w:w="360" w:type="dxa"/>
            </w:tcMar>
            <w:hideMark/>
          </w:tcPr>
          <w:p w14:paraId="35AB8B97"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Not needed. Only initial training is required. There is no expiration.</w:t>
            </w:r>
          </w:p>
        </w:tc>
      </w:tr>
      <w:tr w:rsidR="008B3820" w:rsidRPr="008B3820" w14:paraId="2AFDC24A" w14:textId="77777777" w:rsidTr="005B56C2">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378D4952"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BSS: Recombinant DNA and NIH Guidelines</w:t>
            </w:r>
          </w:p>
        </w:tc>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4242B238"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All faculty, staff, research personnel, or students working with recombinant DNA or synthetics nucleic acids.</w:t>
            </w:r>
          </w:p>
        </w:tc>
        <w:tc>
          <w:tcPr>
            <w:tcW w:w="6903" w:type="dxa"/>
            <w:tcBorders>
              <w:top w:val="single" w:sz="6" w:space="0" w:color="DDDDDD"/>
              <w:left w:val="nil"/>
              <w:bottom w:val="nil"/>
              <w:right w:val="nil"/>
            </w:tcBorders>
            <w:shd w:val="clear" w:color="auto" w:fill="F9F9F9"/>
            <w:tcMar>
              <w:top w:w="90" w:type="dxa"/>
              <w:left w:w="360" w:type="dxa"/>
              <w:bottom w:w="90" w:type="dxa"/>
              <w:right w:w="360" w:type="dxa"/>
            </w:tcMar>
            <w:hideMark/>
          </w:tcPr>
          <w:p w14:paraId="13BBE99C"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Refresher due every 3 years.</w:t>
            </w:r>
          </w:p>
        </w:tc>
      </w:tr>
      <w:tr w:rsidR="008B3820" w:rsidRPr="008B3820" w14:paraId="3F5D63BD" w14:textId="77777777" w:rsidTr="00616DB9">
        <w:tc>
          <w:tcPr>
            <w:tcW w:w="0" w:type="auto"/>
            <w:tcBorders>
              <w:top w:val="single" w:sz="6" w:space="0" w:color="DDDDDD"/>
              <w:left w:val="nil"/>
              <w:bottom w:val="nil"/>
              <w:right w:val="nil"/>
            </w:tcBorders>
            <w:shd w:val="clear" w:color="auto" w:fill="auto"/>
            <w:tcMar>
              <w:top w:w="90" w:type="dxa"/>
              <w:left w:w="360" w:type="dxa"/>
              <w:bottom w:w="90" w:type="dxa"/>
              <w:right w:w="360" w:type="dxa"/>
            </w:tcMar>
            <w:hideMark/>
          </w:tcPr>
          <w:p w14:paraId="641368B2"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BSS: IBC Member Training</w:t>
            </w:r>
          </w:p>
        </w:tc>
        <w:tc>
          <w:tcPr>
            <w:tcW w:w="0" w:type="auto"/>
            <w:tcBorders>
              <w:top w:val="single" w:sz="6" w:space="0" w:color="DDDDDD"/>
              <w:left w:val="nil"/>
              <w:bottom w:val="nil"/>
              <w:right w:val="nil"/>
            </w:tcBorders>
            <w:shd w:val="clear" w:color="auto" w:fill="auto"/>
            <w:tcMar>
              <w:top w:w="90" w:type="dxa"/>
              <w:left w:w="360" w:type="dxa"/>
              <w:bottom w:w="90" w:type="dxa"/>
              <w:right w:w="360" w:type="dxa"/>
            </w:tcMar>
            <w:hideMark/>
          </w:tcPr>
          <w:p w14:paraId="57A4705F"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Required for Institutional Biosafety Committee members; includes biosafety awareness &amp; recombination DNA training.</w:t>
            </w:r>
          </w:p>
        </w:tc>
        <w:tc>
          <w:tcPr>
            <w:tcW w:w="6903" w:type="dxa"/>
            <w:tcBorders>
              <w:top w:val="single" w:sz="6" w:space="0" w:color="DDDDDD"/>
              <w:left w:val="nil"/>
              <w:bottom w:val="nil"/>
              <w:right w:val="nil"/>
            </w:tcBorders>
            <w:shd w:val="clear" w:color="auto" w:fill="auto"/>
            <w:tcMar>
              <w:top w:w="90" w:type="dxa"/>
              <w:left w:w="360" w:type="dxa"/>
              <w:bottom w:w="90" w:type="dxa"/>
              <w:right w:w="360" w:type="dxa"/>
            </w:tcMar>
            <w:hideMark/>
          </w:tcPr>
          <w:p w14:paraId="5A77C214"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Refresher due every 3 years.</w:t>
            </w:r>
          </w:p>
        </w:tc>
      </w:tr>
      <w:tr w:rsidR="008B3820" w:rsidRPr="008B3820" w14:paraId="2052A888" w14:textId="77777777" w:rsidTr="005B56C2">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7CC827C4"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lastRenderedPageBreak/>
              <w:t>BSS: Shipping and Transport of Regulated Biological Materials</w:t>
            </w:r>
          </w:p>
        </w:tc>
        <w:tc>
          <w:tcPr>
            <w:tcW w:w="0" w:type="auto"/>
            <w:tcBorders>
              <w:top w:val="single" w:sz="6" w:space="0" w:color="DDDDDD"/>
              <w:left w:val="nil"/>
              <w:bottom w:val="nil"/>
              <w:right w:val="nil"/>
            </w:tcBorders>
            <w:shd w:val="clear" w:color="auto" w:fill="F9F9F9"/>
            <w:tcMar>
              <w:top w:w="90" w:type="dxa"/>
              <w:left w:w="360" w:type="dxa"/>
              <w:bottom w:w="90" w:type="dxa"/>
              <w:right w:w="360" w:type="dxa"/>
            </w:tcMar>
            <w:hideMark/>
          </w:tcPr>
          <w:p w14:paraId="25AA8FCD"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Required for faculty or staff that will be shipping regulated materials.</w:t>
            </w:r>
          </w:p>
        </w:tc>
        <w:tc>
          <w:tcPr>
            <w:tcW w:w="6903" w:type="dxa"/>
            <w:tcBorders>
              <w:top w:val="single" w:sz="6" w:space="0" w:color="DDDDDD"/>
              <w:left w:val="nil"/>
              <w:bottom w:val="nil"/>
              <w:right w:val="nil"/>
            </w:tcBorders>
            <w:shd w:val="clear" w:color="auto" w:fill="F9F9F9"/>
            <w:tcMar>
              <w:top w:w="90" w:type="dxa"/>
              <w:left w:w="360" w:type="dxa"/>
              <w:bottom w:w="90" w:type="dxa"/>
              <w:right w:w="360" w:type="dxa"/>
            </w:tcMar>
            <w:hideMark/>
          </w:tcPr>
          <w:p w14:paraId="1B5B8038" w14:textId="77777777" w:rsidR="008B3820" w:rsidRPr="008B3820" w:rsidRDefault="008B3820" w:rsidP="008B3820">
            <w:pPr>
              <w:spacing w:after="0" w:line="240" w:lineRule="auto"/>
              <w:rPr>
                <w:rFonts w:eastAsia="Times New Roman" w:cstheme="minorHAnsi"/>
                <w:color w:val="000000"/>
              </w:rPr>
            </w:pPr>
            <w:r w:rsidRPr="008B3820">
              <w:rPr>
                <w:rFonts w:eastAsia="Times New Roman" w:cstheme="minorHAnsi"/>
                <w:color w:val="000000"/>
              </w:rPr>
              <w:t>Renewal: Refresher required every 2 years</w:t>
            </w:r>
          </w:p>
        </w:tc>
      </w:tr>
    </w:tbl>
    <w:p w14:paraId="1E182820" w14:textId="77777777" w:rsidR="00467124" w:rsidRDefault="002C4B22" w:rsidP="0071543C">
      <w:pPr>
        <w:pStyle w:val="Header"/>
        <w:numPr>
          <w:ilvl w:val="0"/>
          <w:numId w:val="1"/>
        </w:numPr>
      </w:pPr>
      <w:r w:rsidRPr="00DD5EFF">
        <w:t xml:space="preserve">When selecting your </w:t>
      </w:r>
      <w:proofErr w:type="gramStart"/>
      <w:r w:rsidRPr="00DD5EFF">
        <w:t>curriculum</w:t>
      </w:r>
      <w:proofErr w:type="gramEnd"/>
      <w:r w:rsidRPr="00DD5EFF">
        <w:t xml:space="preserve"> you will be asked: What type of course would you like to review?</w:t>
      </w:r>
      <w:r w:rsidR="00FB3511" w:rsidRPr="00DD5EFF">
        <w:t xml:space="preserve">  </w:t>
      </w:r>
      <w:r w:rsidRPr="00DD5EFF">
        <w:t>Select Biosafety (IBC)</w:t>
      </w:r>
      <w:r w:rsidR="008A5A64" w:rsidRPr="00DD5EFF">
        <w:t xml:space="preserve">.  </w:t>
      </w:r>
    </w:p>
    <w:tbl>
      <w:tblPr>
        <w:tblW w:w="19950"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19950"/>
      </w:tblGrid>
      <w:tr w:rsidR="003E4E11" w:rsidRPr="003E4E11" w14:paraId="18335A6F" w14:textId="77777777" w:rsidTr="003E4E11">
        <w:tc>
          <w:tcPr>
            <w:tcW w:w="0" w:type="auto"/>
            <w:shd w:val="clear" w:color="auto" w:fill="F7F6F6"/>
            <w:tcMar>
              <w:top w:w="360" w:type="dxa"/>
              <w:left w:w="360" w:type="dxa"/>
              <w:bottom w:w="360" w:type="dxa"/>
              <w:right w:w="360" w:type="dxa"/>
            </w:tcMar>
            <w:hideMark/>
          </w:tcPr>
          <w:p w14:paraId="1FC80860" w14:textId="77777777" w:rsidR="003E4E11" w:rsidRPr="00CA167A" w:rsidRDefault="003E4E11" w:rsidP="003E4E11">
            <w:pPr>
              <w:pStyle w:val="Header"/>
              <w:ind w:left="720"/>
              <w:rPr>
                <w:rFonts w:ascii="Calibri" w:hAnsi="Calibri" w:cs="Calibri"/>
              </w:rPr>
            </w:pPr>
            <w:r w:rsidRPr="00CA167A">
              <w:rPr>
                <w:rFonts w:ascii="Calibri" w:hAnsi="Calibri" w:cs="Calibri"/>
              </w:rPr>
              <w:t>What type of course/modules would you like to complete? (Choose all that apply)</w:t>
            </w:r>
            <w:r w:rsidRPr="00CA167A">
              <w:rPr>
                <w:rFonts w:ascii="Calibri" w:hAnsi="Calibri" w:cs="Calibri"/>
              </w:rPr>
              <w:br/>
            </w:r>
          </w:p>
          <w:p w14:paraId="57F61FEB" w14:textId="77777777" w:rsidR="003E4E11" w:rsidRPr="00CA167A" w:rsidRDefault="003E4E11" w:rsidP="003E4E11">
            <w:pPr>
              <w:pStyle w:val="Header"/>
              <w:ind w:left="720"/>
              <w:rPr>
                <w:rFonts w:ascii="Calibri" w:hAnsi="Calibri" w:cs="Calibri"/>
                <w:b/>
              </w:rPr>
            </w:pPr>
            <w:r w:rsidRPr="00CA167A">
              <w:rPr>
                <w:rFonts w:ascii="Calibri" w:hAnsi="Calibri" w:cs="Calibri"/>
                <w:b/>
              </w:rPr>
              <w:t>Choose all that apply</w:t>
            </w:r>
            <w:r w:rsidR="00CC3040" w:rsidRPr="00CA167A">
              <w:rPr>
                <w:rFonts w:ascii="Calibri" w:hAnsi="Calibri" w:cs="Calibri"/>
                <w:b/>
              </w:rPr>
              <w:t>:</w:t>
            </w:r>
          </w:p>
        </w:tc>
      </w:tr>
      <w:tr w:rsidR="003E4E11" w:rsidRPr="003E4E11" w14:paraId="20C4A43D" w14:textId="77777777" w:rsidTr="003E4E11">
        <w:tc>
          <w:tcPr>
            <w:tcW w:w="0" w:type="auto"/>
            <w:tcBorders>
              <w:top w:val="nil"/>
              <w:left w:val="single" w:sz="6" w:space="0" w:color="CCCCCC"/>
              <w:bottom w:val="single" w:sz="6" w:space="0" w:color="CCCCCC"/>
              <w:right w:val="single" w:sz="6" w:space="0" w:color="CCCCCC"/>
            </w:tcBorders>
            <w:shd w:val="clear" w:color="auto" w:fill="auto"/>
            <w:tcMar>
              <w:top w:w="360" w:type="dxa"/>
              <w:left w:w="360" w:type="dxa"/>
              <w:bottom w:w="360" w:type="dxa"/>
              <w:right w:w="360" w:type="dxa"/>
            </w:tcMar>
            <w:hideMark/>
          </w:tcPr>
          <w:p w14:paraId="0521028F"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6A4CC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6" o:title=""/>
                </v:shape>
                <w:control r:id="rId7" w:name="DefaultOcxName" w:shapeid="_x0000_i1052"/>
              </w:object>
            </w:r>
            <w:r w:rsidRPr="00CA167A">
              <w:rPr>
                <w:rFonts w:ascii="Calibri" w:hAnsi="Calibri" w:cs="Calibri"/>
              </w:rPr>
              <w:t> Human Subjects Research (IRB) </w:t>
            </w:r>
            <w:r w:rsidRPr="00CA167A">
              <w:rPr>
                <w:rFonts w:ascii="Calibri" w:hAnsi="Calibri" w:cs="Calibri"/>
              </w:rPr>
              <w:br/>
            </w:r>
          </w:p>
          <w:p w14:paraId="5E6BDE32"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1D754A54">
                <v:shape id="_x0000_i1055" type="#_x0000_t75" style="width:20.25pt;height:18pt" o:ole="">
                  <v:imagedata r:id="rId6" o:title=""/>
                </v:shape>
                <w:control r:id="rId8" w:name="DefaultOcxName1" w:shapeid="_x0000_i1055"/>
              </w:object>
            </w:r>
            <w:r w:rsidRPr="00CA167A">
              <w:rPr>
                <w:rFonts w:ascii="Calibri" w:hAnsi="Calibri" w:cs="Calibri"/>
              </w:rPr>
              <w:t> Animal Care and Use (IACUC) </w:t>
            </w:r>
            <w:r w:rsidRPr="00CA167A">
              <w:rPr>
                <w:rFonts w:ascii="Calibri" w:hAnsi="Calibri" w:cs="Calibri"/>
              </w:rPr>
              <w:br/>
            </w:r>
          </w:p>
          <w:p w14:paraId="6B38117B"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37B13309">
                <v:shape id="_x0000_i1058" type="#_x0000_t75" style="width:20.25pt;height:18pt" o:ole="">
                  <v:imagedata r:id="rId9" o:title=""/>
                </v:shape>
                <w:control r:id="rId10" w:name="DefaultOcxName2" w:shapeid="_x0000_i1058"/>
              </w:object>
            </w:r>
            <w:r w:rsidRPr="00CA167A">
              <w:rPr>
                <w:rFonts w:ascii="Calibri" w:hAnsi="Calibri" w:cs="Calibri"/>
              </w:rPr>
              <w:t> Biosafety (IBC) </w:t>
            </w:r>
            <w:r w:rsidRPr="00CA167A">
              <w:rPr>
                <w:rFonts w:ascii="Calibri" w:hAnsi="Calibri" w:cs="Calibri"/>
              </w:rPr>
              <w:br/>
            </w:r>
          </w:p>
          <w:p w14:paraId="61039C69"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23FFB4CA">
                <v:shape id="_x0000_i1061" type="#_x0000_t75" style="width:20.25pt;height:18pt" o:ole="">
                  <v:imagedata r:id="rId6" o:title=""/>
                </v:shape>
                <w:control r:id="rId11" w:name="DefaultOcxName3" w:shapeid="_x0000_i1061"/>
              </w:object>
            </w:r>
            <w:r w:rsidRPr="00CA167A">
              <w:rPr>
                <w:rFonts w:ascii="Calibri" w:hAnsi="Calibri" w:cs="Calibri"/>
              </w:rPr>
              <w:t> Financial Conflict of Interest (FCOI) </w:t>
            </w:r>
            <w:r w:rsidRPr="00CA167A">
              <w:rPr>
                <w:rFonts w:ascii="Calibri" w:hAnsi="Calibri" w:cs="Calibri"/>
              </w:rPr>
              <w:br/>
            </w:r>
          </w:p>
          <w:p w14:paraId="62944461"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23C77F07">
                <v:shape id="_x0000_i1064" type="#_x0000_t75" style="width:20.25pt;height:18pt" o:ole="">
                  <v:imagedata r:id="rId6" o:title=""/>
                </v:shape>
                <w:control r:id="rId12" w:name="DefaultOcxName4" w:shapeid="_x0000_i1064"/>
              </w:object>
            </w:r>
            <w:r w:rsidRPr="00CA167A">
              <w:rPr>
                <w:rFonts w:ascii="Calibri" w:hAnsi="Calibri" w:cs="Calibri"/>
              </w:rPr>
              <w:t> Responsible Conduct in Research (RCR) </w:t>
            </w:r>
            <w:r w:rsidRPr="00CA167A">
              <w:rPr>
                <w:rFonts w:ascii="Calibri" w:hAnsi="Calibri" w:cs="Calibri"/>
              </w:rPr>
              <w:br/>
            </w:r>
          </w:p>
          <w:p w14:paraId="6D102E14" w14:textId="77777777" w:rsidR="003E4E11" w:rsidRPr="00CA167A" w:rsidRDefault="003E4E11" w:rsidP="003E4E11">
            <w:pPr>
              <w:pStyle w:val="Header"/>
              <w:ind w:left="720"/>
              <w:rPr>
                <w:rFonts w:ascii="Calibri" w:hAnsi="Calibri" w:cs="Calibri"/>
              </w:rPr>
            </w:pPr>
            <w:r w:rsidRPr="00CA167A">
              <w:rPr>
                <w:rFonts w:ascii="Calibri" w:hAnsi="Calibri" w:cs="Calibri"/>
              </w:rPr>
              <w:object w:dxaOrig="225" w:dyaOrig="225" w14:anchorId="3760FA9F">
                <v:shape id="_x0000_i1067" type="#_x0000_t75" style="width:20.25pt;height:18pt" o:ole="">
                  <v:imagedata r:id="rId6" o:title=""/>
                </v:shape>
                <w:control r:id="rId13" w:name="DefaultOcxName5" w:shapeid="_x0000_i1067"/>
              </w:object>
            </w:r>
            <w:r w:rsidRPr="00CA167A">
              <w:rPr>
                <w:rFonts w:ascii="Calibri" w:hAnsi="Calibri" w:cs="Calibri"/>
              </w:rPr>
              <w:t> FR3 Minicourse </w:t>
            </w:r>
          </w:p>
        </w:tc>
      </w:tr>
    </w:tbl>
    <w:p w14:paraId="32DD6C16" w14:textId="77777777" w:rsidR="002C4B22" w:rsidRDefault="002C4B22" w:rsidP="002C4B22">
      <w:pPr>
        <w:pStyle w:val="Header"/>
        <w:ind w:left="720"/>
      </w:pPr>
    </w:p>
    <w:p w14:paraId="73885D1C" w14:textId="77777777" w:rsidR="00A4325F" w:rsidRPr="00422862" w:rsidRDefault="002C4B22" w:rsidP="00A2096C">
      <w:pPr>
        <w:pStyle w:val="Header"/>
        <w:numPr>
          <w:ilvl w:val="0"/>
          <w:numId w:val="1"/>
        </w:numPr>
      </w:pPr>
      <w:r w:rsidRPr="00DD5EFF">
        <w:t xml:space="preserve">Select </w:t>
      </w:r>
      <w:r w:rsidR="00F508D7">
        <w:t xml:space="preserve">the Biosafety </w:t>
      </w:r>
      <w:r w:rsidRPr="00DD5EFF">
        <w:t>Courses</w:t>
      </w:r>
      <w:r w:rsidR="00F508D7">
        <w:t xml:space="preserve"> in which you wish to complete </w:t>
      </w:r>
      <w:r w:rsidR="00F508D7" w:rsidRPr="00DD5EFF">
        <w:t>and</w:t>
      </w:r>
      <w:r w:rsidR="00A4325F">
        <w:t xml:space="preserve"> hit the next button </w:t>
      </w:r>
      <w:r w:rsidR="00DD77F2">
        <w:t>to have the cour</w:t>
      </w:r>
      <w:r w:rsidR="0002558B">
        <w:t>se added to your learner menu (s</w:t>
      </w:r>
      <w:r w:rsidR="00DD77F2">
        <w:t>ee screenshot below)</w:t>
      </w:r>
      <w:r w:rsidR="0002558B">
        <w:t xml:space="preserve">.  </w:t>
      </w:r>
      <w:r w:rsidR="00F508D7">
        <w:t xml:space="preserve"> Under Active courses, you will see </w:t>
      </w:r>
      <w:r w:rsidR="008113BD">
        <w:t xml:space="preserve">Courses Ready to Begin.  Select </w:t>
      </w:r>
      <w:r w:rsidR="008113BD" w:rsidRPr="008113BD">
        <w:rPr>
          <w:u w:val="single"/>
        </w:rPr>
        <w:t>Start Now</w:t>
      </w:r>
      <w:r w:rsidR="008113BD" w:rsidRPr="00422862">
        <w:t xml:space="preserve">.  Complete the Assurance Statement to </w:t>
      </w:r>
      <w:r w:rsidR="00D35E6F" w:rsidRPr="00422862">
        <w:t xml:space="preserve">start the course.  If you are unable to complete all required modules </w:t>
      </w:r>
      <w:r w:rsidR="00422862" w:rsidRPr="00422862">
        <w:t xml:space="preserve">for a course </w:t>
      </w:r>
      <w:r w:rsidR="00D35E6F" w:rsidRPr="00422862">
        <w:t>in one sitt</w:t>
      </w:r>
      <w:r w:rsidR="0002558B">
        <w:t xml:space="preserve">ing, the progress will be saved as you complete each module so you can go back </w:t>
      </w:r>
      <w:proofErr w:type="gramStart"/>
      <w:r w:rsidR="0002558B">
        <w:t>at a later time</w:t>
      </w:r>
      <w:proofErr w:type="gramEnd"/>
      <w:r w:rsidR="0002558B">
        <w:t xml:space="preserve"> to finish the course.</w:t>
      </w:r>
    </w:p>
    <w:p w14:paraId="5168E233" w14:textId="77777777" w:rsidR="00202E4C" w:rsidRPr="00B76AF2" w:rsidRDefault="00202E4C" w:rsidP="005E180F">
      <w:pPr>
        <w:pStyle w:val="Header"/>
        <w:framePr w:hSpace="180" w:wrap="around" w:vAnchor="page" w:hAnchor="page" w:x="1" w:y="1531"/>
        <w:ind w:left="720"/>
        <w:suppressOverlap/>
        <w:rPr>
          <w:rStyle w:val="Hyperlink"/>
          <w:color w:val="auto"/>
          <w:u w:val="none"/>
        </w:rPr>
      </w:pPr>
    </w:p>
    <w:tbl>
      <w:tblPr>
        <w:tblpPr w:leftFromText="180" w:rightFromText="180" w:vertAnchor="page" w:horzAnchor="page" w:tblpX="1" w:tblpY="1531"/>
        <w:tblOverlap w:val="never"/>
        <w:tblW w:w="21600" w:type="dxa"/>
        <w:tblCellMar>
          <w:top w:w="15" w:type="dxa"/>
          <w:left w:w="15" w:type="dxa"/>
          <w:bottom w:w="15" w:type="dxa"/>
          <w:right w:w="15" w:type="dxa"/>
        </w:tblCellMar>
        <w:tblLook w:val="04A0" w:firstRow="1" w:lastRow="0" w:firstColumn="1" w:lastColumn="0" w:noHBand="0" w:noVBand="1"/>
      </w:tblPr>
      <w:tblGrid>
        <w:gridCol w:w="21600"/>
      </w:tblGrid>
      <w:tr w:rsidR="000903D3" w:rsidRPr="00A2096C" w14:paraId="3BDA4A3D" w14:textId="77777777" w:rsidTr="000903D3">
        <w:tc>
          <w:tcPr>
            <w:tcW w:w="0" w:type="auto"/>
            <w:shd w:val="clear" w:color="auto" w:fill="F7F6F6"/>
            <w:tcMar>
              <w:top w:w="360" w:type="dxa"/>
              <w:left w:w="360" w:type="dxa"/>
              <w:bottom w:w="360" w:type="dxa"/>
              <w:right w:w="360" w:type="dxa"/>
            </w:tcMar>
            <w:hideMark/>
          </w:tcPr>
          <w:p w14:paraId="3FBA8F13" w14:textId="77777777" w:rsidR="000903D3" w:rsidRPr="00832A30" w:rsidRDefault="000903D3" w:rsidP="000903D3">
            <w:pPr>
              <w:spacing w:after="192" w:line="240" w:lineRule="auto"/>
              <w:outlineLvl w:val="0"/>
              <w:rPr>
                <w:rFonts w:ascii="Calibri" w:eastAsia="Times New Roman" w:hAnsi="Calibri" w:cs="Calibri"/>
                <w:b/>
                <w:bCs/>
                <w:kern w:val="36"/>
              </w:rPr>
            </w:pPr>
            <w:r w:rsidRPr="00832A30">
              <w:rPr>
                <w:rFonts w:ascii="Calibri" w:eastAsia="Times New Roman" w:hAnsi="Calibri" w:cs="Calibri"/>
                <w:b/>
                <w:bCs/>
                <w:kern w:val="36"/>
              </w:rPr>
              <w:lastRenderedPageBreak/>
              <w:t>Biosafety (</w:t>
            </w:r>
            <w:r w:rsidR="00832A30" w:rsidRPr="00832A30">
              <w:rPr>
                <w:rFonts w:ascii="Calibri" w:eastAsia="Times New Roman" w:hAnsi="Calibri" w:cs="Calibri"/>
                <w:b/>
                <w:bCs/>
                <w:kern w:val="36"/>
              </w:rPr>
              <w:t>Course Options</w:t>
            </w:r>
            <w:r w:rsidRPr="00832A30">
              <w:rPr>
                <w:rFonts w:ascii="Calibri" w:eastAsia="Times New Roman" w:hAnsi="Calibri" w:cs="Calibri"/>
                <w:b/>
                <w:bCs/>
                <w:kern w:val="36"/>
              </w:rPr>
              <w:t>):</w:t>
            </w:r>
          </w:p>
          <w:p w14:paraId="730FAFDB" w14:textId="77777777" w:rsidR="000903D3" w:rsidRPr="00832A30" w:rsidRDefault="000903D3" w:rsidP="000903D3">
            <w:pPr>
              <w:spacing w:before="100" w:beforeAutospacing="1" w:after="100" w:afterAutospacing="1" w:line="240" w:lineRule="auto"/>
              <w:rPr>
                <w:rFonts w:ascii="Calibri" w:eastAsia="Times New Roman" w:hAnsi="Calibri" w:cs="Calibri"/>
                <w:color w:val="33940C"/>
              </w:rPr>
            </w:pPr>
            <w:r w:rsidRPr="00832A30">
              <w:rPr>
                <w:rFonts w:ascii="Calibri" w:eastAsia="Times New Roman" w:hAnsi="Calibri" w:cs="Calibri"/>
                <w:color w:val="33940C"/>
              </w:rPr>
              <w:t>Choose all that apply</w:t>
            </w:r>
          </w:p>
        </w:tc>
      </w:tr>
      <w:tr w:rsidR="000903D3" w:rsidRPr="00A2096C" w14:paraId="73DD1FA5" w14:textId="77777777" w:rsidTr="000903D3">
        <w:tc>
          <w:tcPr>
            <w:tcW w:w="0" w:type="auto"/>
            <w:tcBorders>
              <w:top w:val="nil"/>
              <w:left w:val="single" w:sz="6" w:space="0" w:color="CCCCCC"/>
              <w:bottom w:val="single" w:sz="6" w:space="0" w:color="CCCCCC"/>
              <w:right w:val="single" w:sz="6" w:space="0" w:color="CCCCCC"/>
            </w:tcBorders>
            <w:shd w:val="clear" w:color="auto" w:fill="auto"/>
            <w:tcMar>
              <w:top w:w="360" w:type="dxa"/>
              <w:left w:w="360" w:type="dxa"/>
              <w:bottom w:w="360" w:type="dxa"/>
              <w:right w:w="360" w:type="dxa"/>
            </w:tcMar>
            <w:hideMark/>
          </w:tcPr>
          <w:p w14:paraId="405ECC5E" w14:textId="77777777" w:rsidR="000903D3" w:rsidRPr="00832A30" w:rsidRDefault="000903D3" w:rsidP="000903D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1E7B7FC1">
                <v:shape id="_x0000_i1070" type="#_x0000_t75" style="width:20.25pt;height:18pt" o:ole="">
                  <v:imagedata r:id="rId6" o:title=""/>
                </v:shape>
                <w:control r:id="rId14" w:name="DefaultOcxName7" w:shapeid="_x0000_i1070"/>
              </w:object>
            </w:r>
            <w:r w:rsidRPr="00832A30">
              <w:rPr>
                <w:rFonts w:ascii="Calibri" w:eastAsia="Times New Roman" w:hAnsi="Calibri" w:cs="Calibri"/>
              </w:rPr>
              <w:t> BSS: Initial Biosafety Awareness Training (all faculty, staff, research personnel, or students working with biohazardous materials) </w:t>
            </w:r>
            <w:r w:rsidRPr="00832A30">
              <w:rPr>
                <w:rFonts w:ascii="Calibri" w:eastAsia="Times New Roman" w:hAnsi="Calibri" w:cs="Calibri"/>
              </w:rPr>
              <w:br/>
            </w:r>
          </w:p>
          <w:p w14:paraId="0FD3138F" w14:textId="77777777" w:rsidR="000903D3" w:rsidRPr="00832A30" w:rsidRDefault="000903D3" w:rsidP="000903D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02E0C85D">
                <v:shape id="_x0000_i1073" type="#_x0000_t75" style="width:20.25pt;height:18pt" o:ole="">
                  <v:imagedata r:id="rId6" o:title=""/>
                </v:shape>
                <w:control r:id="rId15" w:name="DefaultOcxName11" w:shapeid="_x0000_i1073"/>
              </w:object>
            </w:r>
            <w:r w:rsidRPr="00832A30">
              <w:rPr>
                <w:rFonts w:ascii="Calibri" w:eastAsia="Times New Roman" w:hAnsi="Calibri" w:cs="Calibri"/>
              </w:rPr>
              <w:t> BSS: Recombinant DNA and NIH Guidelines (all faculty, staff, research personnel, or students working with recombinant DNA or synthetic nucleic acids) </w:t>
            </w:r>
            <w:r w:rsidRPr="00832A30">
              <w:rPr>
                <w:rFonts w:ascii="Calibri" w:eastAsia="Times New Roman" w:hAnsi="Calibri" w:cs="Calibri"/>
              </w:rPr>
              <w:br/>
            </w:r>
          </w:p>
          <w:p w14:paraId="2FA20D85" w14:textId="77777777" w:rsidR="000903D3" w:rsidRPr="00832A30" w:rsidRDefault="000903D3" w:rsidP="000903D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04734293">
                <v:shape id="_x0000_i1076" type="#_x0000_t75" style="width:20.25pt;height:18pt" o:ole="">
                  <v:imagedata r:id="rId6" o:title=""/>
                </v:shape>
                <w:control r:id="rId16" w:name="DefaultOcxName21" w:shapeid="_x0000_i1076"/>
              </w:object>
            </w:r>
            <w:r w:rsidRPr="00832A30">
              <w:rPr>
                <w:rFonts w:ascii="Calibri" w:eastAsia="Times New Roman" w:hAnsi="Calibri" w:cs="Calibri"/>
              </w:rPr>
              <w:t> BSS: IBC Member Training (required for Institutional Biosafety Committee members; includes biosafety awareness &amp; recombinant DNA training) </w:t>
            </w:r>
            <w:r w:rsidRPr="00832A30">
              <w:rPr>
                <w:rFonts w:ascii="Calibri" w:eastAsia="Times New Roman" w:hAnsi="Calibri" w:cs="Calibri"/>
              </w:rPr>
              <w:br/>
            </w:r>
          </w:p>
          <w:p w14:paraId="76ED8679" w14:textId="77777777" w:rsidR="000903D3" w:rsidRPr="00832A30" w:rsidRDefault="000903D3" w:rsidP="00F6510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54CDAA04">
                <v:shape id="_x0000_i1079" type="#_x0000_t75" style="width:20.25pt;height:18pt" o:ole="">
                  <v:imagedata r:id="rId6" o:title=""/>
                </v:shape>
                <w:control r:id="rId17" w:name="DefaultOcxName31" w:shapeid="_x0000_i1079"/>
              </w:object>
            </w:r>
            <w:r w:rsidRPr="00832A30">
              <w:rPr>
                <w:rFonts w:ascii="Calibri" w:eastAsia="Times New Roman" w:hAnsi="Calibri" w:cs="Calibri"/>
              </w:rPr>
              <w:t> BSS: OSHA Bloodborne Pathogens (required when research or teaching activities involve working with human blood or other potentially infectious materials) </w:t>
            </w:r>
            <w:r w:rsidRPr="00832A30">
              <w:rPr>
                <w:rFonts w:ascii="Calibri" w:eastAsia="Times New Roman" w:hAnsi="Calibri" w:cs="Calibri"/>
              </w:rPr>
              <w:br/>
            </w:r>
          </w:p>
          <w:p w14:paraId="114CC406" w14:textId="77777777" w:rsidR="000903D3" w:rsidRPr="00832A30" w:rsidRDefault="000903D3" w:rsidP="000903D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71003727">
                <v:shape id="_x0000_i1082" type="#_x0000_t75" style="width:20.25pt;height:18pt" o:ole="">
                  <v:imagedata r:id="rId6" o:title=""/>
                </v:shape>
                <w:control r:id="rId18" w:name="DefaultOcxName41" w:shapeid="_x0000_i1082"/>
              </w:object>
            </w:r>
            <w:r w:rsidRPr="00832A30">
              <w:rPr>
                <w:rFonts w:ascii="Calibri" w:eastAsia="Times New Roman" w:hAnsi="Calibri" w:cs="Calibri"/>
              </w:rPr>
              <w:t> BSS: Shipping and Transport of Regulated Biological Materials (required for faculty or staff that will be shipping regulated materials) </w:t>
            </w:r>
            <w:r w:rsidRPr="00832A30">
              <w:rPr>
                <w:rFonts w:ascii="Calibri" w:eastAsia="Times New Roman" w:hAnsi="Calibri" w:cs="Calibri"/>
              </w:rPr>
              <w:br/>
            </w:r>
          </w:p>
          <w:p w14:paraId="4908DB98" w14:textId="77777777" w:rsidR="000903D3" w:rsidRPr="00832A30" w:rsidRDefault="000903D3" w:rsidP="000903D3">
            <w:pPr>
              <w:spacing w:before="100" w:beforeAutospacing="1" w:after="100" w:afterAutospacing="1" w:line="240" w:lineRule="auto"/>
              <w:rPr>
                <w:rFonts w:ascii="Calibri" w:eastAsia="Times New Roman" w:hAnsi="Calibri" w:cs="Calibri"/>
              </w:rPr>
            </w:pPr>
            <w:r w:rsidRPr="00832A30">
              <w:rPr>
                <w:rFonts w:ascii="Calibri" w:eastAsia="Times New Roman" w:hAnsi="Calibri" w:cs="Calibri"/>
              </w:rPr>
              <w:object w:dxaOrig="225" w:dyaOrig="225" w14:anchorId="3050D0AD">
                <v:shape id="_x0000_i1085" type="#_x0000_t75" style="width:20.25pt;height:18pt" o:ole="">
                  <v:imagedata r:id="rId6" o:title=""/>
                </v:shape>
                <w:control r:id="rId19" w:name="DefaultOcxName51" w:shapeid="_x0000_i1085"/>
              </w:object>
            </w:r>
            <w:r w:rsidRPr="00832A30">
              <w:rPr>
                <w:rFonts w:ascii="Calibri" w:eastAsia="Times New Roman" w:hAnsi="Calibri" w:cs="Calibri"/>
              </w:rPr>
              <w:t> BSS: Animal Biosafety (required when research involves biohazardous material use and animals) </w:t>
            </w:r>
            <w:r w:rsidRPr="00832A30">
              <w:rPr>
                <w:rFonts w:ascii="Calibri" w:eastAsia="Times New Roman" w:hAnsi="Calibri" w:cs="Calibri"/>
              </w:rPr>
              <w:br/>
            </w:r>
          </w:p>
        </w:tc>
      </w:tr>
      <w:tr w:rsidR="000903D3" w:rsidRPr="00A2096C" w14:paraId="6AEEC5AB" w14:textId="77777777" w:rsidTr="000903D3">
        <w:tblPrEx>
          <w:tblCellSpacing w:w="15" w:type="dxa"/>
        </w:tblPrEx>
        <w:trPr>
          <w:tblCellSpacing w:w="15" w:type="dxa"/>
        </w:trPr>
        <w:tc>
          <w:tcPr>
            <w:tcW w:w="0" w:type="auto"/>
            <w:vAlign w:val="center"/>
            <w:hideMark/>
          </w:tcPr>
          <w:p w14:paraId="0513FD73" w14:textId="77777777" w:rsidR="000903D3" w:rsidRPr="00832A30" w:rsidRDefault="000903D3" w:rsidP="000903D3">
            <w:pPr>
              <w:spacing w:after="0" w:line="240" w:lineRule="auto"/>
              <w:rPr>
                <w:rFonts w:ascii="Calibri" w:eastAsia="Times New Roman" w:hAnsi="Calibri" w:cs="Calibri"/>
              </w:rPr>
            </w:pPr>
            <w:r w:rsidRPr="00832A30">
              <w:rPr>
                <w:rFonts w:ascii="Calibri" w:eastAsia="Times New Roman" w:hAnsi="Calibri" w:cs="Calibri"/>
              </w:rPr>
              <w:object w:dxaOrig="225" w:dyaOrig="225" w14:anchorId="276239EB">
                <v:shape id="_x0000_i1088" type="#_x0000_t75" style="width:36pt;height:22.5pt" o:ole="">
                  <v:imagedata r:id="rId20" o:title=""/>
                </v:shape>
                <w:control r:id="rId21" w:name="DefaultOcxName6" w:shapeid="_x0000_i1088"/>
              </w:object>
            </w:r>
          </w:p>
        </w:tc>
      </w:tr>
    </w:tbl>
    <w:p w14:paraId="6522275B" w14:textId="77777777" w:rsidR="00D9451F" w:rsidRDefault="00D9451F" w:rsidP="00D9451F">
      <w:pPr>
        <w:shd w:val="clear" w:color="auto" w:fill="F7F6F6"/>
        <w:spacing w:after="192" w:line="240" w:lineRule="auto"/>
        <w:outlineLvl w:val="0"/>
        <w:rPr>
          <w:rFonts w:ascii="Helvetica" w:eastAsia="Times New Roman" w:hAnsi="Helvetica" w:cs="Helvetica"/>
          <w:b/>
          <w:bCs/>
          <w:color w:val="000000"/>
          <w:kern w:val="36"/>
          <w:sz w:val="30"/>
          <w:szCs w:val="30"/>
        </w:rPr>
      </w:pPr>
    </w:p>
    <w:sectPr w:rsidR="00D9451F" w:rsidSect="006940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F589C"/>
    <w:multiLevelType w:val="hybridMultilevel"/>
    <w:tmpl w:val="7E5278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22"/>
    <w:rsid w:val="0001629A"/>
    <w:rsid w:val="00021043"/>
    <w:rsid w:val="0002558B"/>
    <w:rsid w:val="00035E64"/>
    <w:rsid w:val="00060CCE"/>
    <w:rsid w:val="000878C1"/>
    <w:rsid w:val="000903D3"/>
    <w:rsid w:val="000A6B56"/>
    <w:rsid w:val="000E5CD5"/>
    <w:rsid w:val="00103EF5"/>
    <w:rsid w:val="001B3451"/>
    <w:rsid w:val="00202E4C"/>
    <w:rsid w:val="002838B3"/>
    <w:rsid w:val="002C4B22"/>
    <w:rsid w:val="002D36AD"/>
    <w:rsid w:val="002E72A3"/>
    <w:rsid w:val="00360EC1"/>
    <w:rsid w:val="003E4E11"/>
    <w:rsid w:val="003E60CA"/>
    <w:rsid w:val="00422862"/>
    <w:rsid w:val="00437FB6"/>
    <w:rsid w:val="00467124"/>
    <w:rsid w:val="00536B56"/>
    <w:rsid w:val="005613F5"/>
    <w:rsid w:val="005B56C2"/>
    <w:rsid w:val="005E180F"/>
    <w:rsid w:val="00614DF4"/>
    <w:rsid w:val="00616DB9"/>
    <w:rsid w:val="006940DC"/>
    <w:rsid w:val="006E5A1C"/>
    <w:rsid w:val="0077168C"/>
    <w:rsid w:val="00772A85"/>
    <w:rsid w:val="00810AF1"/>
    <w:rsid w:val="008113BD"/>
    <w:rsid w:val="00825FFC"/>
    <w:rsid w:val="00832A30"/>
    <w:rsid w:val="00843627"/>
    <w:rsid w:val="008A5A64"/>
    <w:rsid w:val="008B3820"/>
    <w:rsid w:val="008B387B"/>
    <w:rsid w:val="00A06024"/>
    <w:rsid w:val="00A066A3"/>
    <w:rsid w:val="00A14ABD"/>
    <w:rsid w:val="00A2096C"/>
    <w:rsid w:val="00A40D2D"/>
    <w:rsid w:val="00A4325F"/>
    <w:rsid w:val="00A92A81"/>
    <w:rsid w:val="00B6516A"/>
    <w:rsid w:val="00B76AF2"/>
    <w:rsid w:val="00BE20EE"/>
    <w:rsid w:val="00BE7D69"/>
    <w:rsid w:val="00C448F0"/>
    <w:rsid w:val="00C52FCF"/>
    <w:rsid w:val="00CA167A"/>
    <w:rsid w:val="00CC3040"/>
    <w:rsid w:val="00D27EAA"/>
    <w:rsid w:val="00D35E6F"/>
    <w:rsid w:val="00D9451F"/>
    <w:rsid w:val="00DA7D29"/>
    <w:rsid w:val="00DD5EFF"/>
    <w:rsid w:val="00DD77F2"/>
    <w:rsid w:val="00E11A2B"/>
    <w:rsid w:val="00E256F3"/>
    <w:rsid w:val="00E40C74"/>
    <w:rsid w:val="00EC20CC"/>
    <w:rsid w:val="00F231D5"/>
    <w:rsid w:val="00F508D7"/>
    <w:rsid w:val="00F65103"/>
    <w:rsid w:val="00FB3511"/>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F6A1F40"/>
  <w15:chartTrackingRefBased/>
  <w15:docId w15:val="{61EEFC46-31B8-46A2-9078-33A2AF53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22"/>
  </w:style>
  <w:style w:type="character" w:styleId="Hyperlink">
    <w:name w:val="Hyperlink"/>
    <w:basedOn w:val="DefaultParagraphFont"/>
    <w:uiPriority w:val="99"/>
    <w:unhideWhenUsed/>
    <w:rsid w:val="00021043"/>
    <w:rPr>
      <w:color w:val="0563C1" w:themeColor="hyperlink"/>
      <w:u w:val="single"/>
    </w:rPr>
  </w:style>
  <w:style w:type="character" w:customStyle="1" w:styleId="Heading1Char">
    <w:name w:val="Heading 1 Char"/>
    <w:basedOn w:val="DefaultParagraphFont"/>
    <w:link w:val="Heading1"/>
    <w:uiPriority w:val="9"/>
    <w:rsid w:val="00202E4C"/>
    <w:rPr>
      <w:rFonts w:ascii="Times New Roman" w:eastAsia="Times New Roman" w:hAnsi="Times New Roman" w:cs="Times New Roman"/>
      <w:b/>
      <w:bCs/>
      <w:kern w:val="36"/>
      <w:sz w:val="48"/>
      <w:szCs w:val="48"/>
    </w:rPr>
  </w:style>
  <w:style w:type="paragraph" w:customStyle="1" w:styleId="text-small">
    <w:name w:val="text-small"/>
    <w:basedOn w:val="Normal"/>
    <w:rsid w:val="00202E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E4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209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9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09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96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588">
      <w:bodyDiv w:val="1"/>
      <w:marLeft w:val="0"/>
      <w:marRight w:val="0"/>
      <w:marTop w:val="0"/>
      <w:marBottom w:val="0"/>
      <w:divBdr>
        <w:top w:val="none" w:sz="0" w:space="0" w:color="auto"/>
        <w:left w:val="none" w:sz="0" w:space="0" w:color="auto"/>
        <w:bottom w:val="none" w:sz="0" w:space="0" w:color="auto"/>
        <w:right w:val="none" w:sz="0" w:space="0" w:color="auto"/>
      </w:divBdr>
    </w:div>
    <w:div w:id="655958870">
      <w:bodyDiv w:val="1"/>
      <w:marLeft w:val="0"/>
      <w:marRight w:val="0"/>
      <w:marTop w:val="0"/>
      <w:marBottom w:val="0"/>
      <w:divBdr>
        <w:top w:val="none" w:sz="0" w:space="0" w:color="auto"/>
        <w:left w:val="none" w:sz="0" w:space="0" w:color="auto"/>
        <w:bottom w:val="none" w:sz="0" w:space="0" w:color="auto"/>
        <w:right w:val="none" w:sz="0" w:space="0" w:color="auto"/>
      </w:divBdr>
      <w:divsChild>
        <w:div w:id="1404059955">
          <w:marLeft w:val="0"/>
          <w:marRight w:val="0"/>
          <w:marTop w:val="396"/>
          <w:marBottom w:val="396"/>
          <w:divBdr>
            <w:top w:val="none" w:sz="0" w:space="0" w:color="auto"/>
            <w:left w:val="none" w:sz="0" w:space="0" w:color="auto"/>
            <w:bottom w:val="none" w:sz="0" w:space="0" w:color="auto"/>
            <w:right w:val="none" w:sz="0" w:space="0" w:color="auto"/>
          </w:divBdr>
          <w:divsChild>
            <w:div w:id="647321255">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 w:id="1202473377">
      <w:bodyDiv w:val="1"/>
      <w:marLeft w:val="0"/>
      <w:marRight w:val="0"/>
      <w:marTop w:val="0"/>
      <w:marBottom w:val="0"/>
      <w:divBdr>
        <w:top w:val="none" w:sz="0" w:space="0" w:color="auto"/>
        <w:left w:val="none" w:sz="0" w:space="0" w:color="auto"/>
        <w:bottom w:val="none" w:sz="0" w:space="0" w:color="auto"/>
        <w:right w:val="none" w:sz="0" w:space="0" w:color="auto"/>
      </w:divBdr>
    </w:div>
    <w:div w:id="1530483694">
      <w:bodyDiv w:val="1"/>
      <w:marLeft w:val="0"/>
      <w:marRight w:val="0"/>
      <w:marTop w:val="0"/>
      <w:marBottom w:val="0"/>
      <w:divBdr>
        <w:top w:val="none" w:sz="0" w:space="0" w:color="auto"/>
        <w:left w:val="none" w:sz="0" w:space="0" w:color="auto"/>
        <w:bottom w:val="none" w:sz="0" w:space="0" w:color="auto"/>
        <w:right w:val="none" w:sz="0" w:space="0" w:color="auto"/>
      </w:divBdr>
      <w:divsChild>
        <w:div w:id="1108353849">
          <w:marLeft w:val="0"/>
          <w:marRight w:val="0"/>
          <w:marTop w:val="0"/>
          <w:marBottom w:val="0"/>
          <w:divBdr>
            <w:top w:val="none" w:sz="0" w:space="0" w:color="auto"/>
            <w:left w:val="none" w:sz="0" w:space="0" w:color="auto"/>
            <w:bottom w:val="none" w:sz="0" w:space="0" w:color="auto"/>
            <w:right w:val="none" w:sz="0" w:space="0" w:color="auto"/>
          </w:divBdr>
          <w:divsChild>
            <w:div w:id="904724638">
              <w:marLeft w:val="0"/>
              <w:marRight w:val="0"/>
              <w:marTop w:val="0"/>
              <w:marBottom w:val="0"/>
              <w:divBdr>
                <w:top w:val="none" w:sz="0" w:space="0" w:color="auto"/>
                <w:left w:val="none" w:sz="0" w:space="11" w:color="E7E7E7"/>
                <w:bottom w:val="none" w:sz="0" w:space="0" w:color="E7E7E7"/>
                <w:right w:val="none" w:sz="0" w:space="11" w:color="E7E7E7"/>
              </w:divBdr>
              <w:divsChild>
                <w:div w:id="898518293">
                  <w:marLeft w:val="0"/>
                  <w:marRight w:val="0"/>
                  <w:marTop w:val="150"/>
                  <w:marBottom w:val="0"/>
                  <w:divBdr>
                    <w:top w:val="none" w:sz="0" w:space="0" w:color="auto"/>
                    <w:left w:val="none" w:sz="0" w:space="0" w:color="auto"/>
                    <w:bottom w:val="none" w:sz="0" w:space="0" w:color="auto"/>
                    <w:right w:val="none" w:sz="0" w:space="0" w:color="auto"/>
                  </w:divBdr>
                  <w:divsChild>
                    <w:div w:id="982463049">
                      <w:marLeft w:val="-225"/>
                      <w:marRight w:val="-225"/>
                      <w:marTop w:val="0"/>
                      <w:marBottom w:val="0"/>
                      <w:divBdr>
                        <w:top w:val="none" w:sz="0" w:space="0" w:color="auto"/>
                        <w:left w:val="none" w:sz="0" w:space="0" w:color="auto"/>
                        <w:bottom w:val="none" w:sz="0" w:space="0" w:color="auto"/>
                        <w:right w:val="none" w:sz="0" w:space="0" w:color="auto"/>
                      </w:divBdr>
                      <w:divsChild>
                        <w:div w:id="1948853726">
                          <w:marLeft w:val="0"/>
                          <w:marRight w:val="0"/>
                          <w:marTop w:val="0"/>
                          <w:marBottom w:val="0"/>
                          <w:divBdr>
                            <w:top w:val="none" w:sz="0" w:space="0" w:color="auto"/>
                            <w:left w:val="none" w:sz="0" w:space="0" w:color="auto"/>
                            <w:bottom w:val="none" w:sz="0" w:space="0" w:color="auto"/>
                            <w:right w:val="none" w:sz="0" w:space="0" w:color="auto"/>
                          </w:divBdr>
                        </w:div>
                        <w:div w:id="1122924429">
                          <w:marLeft w:val="0"/>
                          <w:marRight w:val="0"/>
                          <w:marTop w:val="0"/>
                          <w:marBottom w:val="0"/>
                          <w:divBdr>
                            <w:top w:val="none" w:sz="0" w:space="0" w:color="auto"/>
                            <w:left w:val="none" w:sz="0" w:space="0" w:color="auto"/>
                            <w:bottom w:val="none" w:sz="0" w:space="0" w:color="auto"/>
                            <w:right w:val="none" w:sz="0" w:space="0" w:color="auto"/>
                          </w:divBdr>
                        </w:div>
                        <w:div w:id="2145852922">
                          <w:marLeft w:val="0"/>
                          <w:marRight w:val="0"/>
                          <w:marTop w:val="0"/>
                          <w:marBottom w:val="0"/>
                          <w:divBdr>
                            <w:top w:val="none" w:sz="0" w:space="0" w:color="auto"/>
                            <w:left w:val="none" w:sz="0" w:space="0" w:color="auto"/>
                            <w:bottom w:val="none" w:sz="0" w:space="0" w:color="auto"/>
                            <w:right w:val="none" w:sz="0" w:space="0" w:color="auto"/>
                          </w:divBdr>
                        </w:div>
                        <w:div w:id="238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064">
          <w:marLeft w:val="0"/>
          <w:marRight w:val="0"/>
          <w:marTop w:val="0"/>
          <w:marBottom w:val="0"/>
          <w:divBdr>
            <w:top w:val="none" w:sz="0" w:space="0" w:color="auto"/>
            <w:left w:val="none" w:sz="0" w:space="0" w:color="auto"/>
            <w:bottom w:val="none" w:sz="0" w:space="0" w:color="auto"/>
            <w:right w:val="none" w:sz="0" w:space="0" w:color="auto"/>
          </w:divBdr>
          <w:divsChild>
            <w:div w:id="1583560600">
              <w:marLeft w:val="0"/>
              <w:marRight w:val="0"/>
              <w:marTop w:val="0"/>
              <w:marBottom w:val="0"/>
              <w:divBdr>
                <w:top w:val="none" w:sz="0" w:space="0" w:color="auto"/>
                <w:left w:val="none" w:sz="0" w:space="0" w:color="auto"/>
                <w:bottom w:val="none" w:sz="0" w:space="0" w:color="auto"/>
                <w:right w:val="none" w:sz="0" w:space="0" w:color="auto"/>
              </w:divBdr>
              <w:divsChild>
                <w:div w:id="1403715646">
                  <w:marLeft w:val="0"/>
                  <w:marRight w:val="0"/>
                  <w:marTop w:val="0"/>
                  <w:marBottom w:val="0"/>
                  <w:divBdr>
                    <w:top w:val="none" w:sz="0" w:space="0" w:color="auto"/>
                    <w:left w:val="none" w:sz="0" w:space="0" w:color="auto"/>
                    <w:bottom w:val="none" w:sz="0" w:space="0" w:color="auto"/>
                    <w:right w:val="none" w:sz="0" w:space="0" w:color="auto"/>
                  </w:divBdr>
                  <w:divsChild>
                    <w:div w:id="1756585829">
                      <w:marLeft w:val="-225"/>
                      <w:marRight w:val="-225"/>
                      <w:marTop w:val="0"/>
                      <w:marBottom w:val="0"/>
                      <w:divBdr>
                        <w:top w:val="none" w:sz="0" w:space="0" w:color="auto"/>
                        <w:left w:val="none" w:sz="0" w:space="0" w:color="auto"/>
                        <w:bottom w:val="none" w:sz="0" w:space="0" w:color="auto"/>
                        <w:right w:val="none" w:sz="0" w:space="0" w:color="auto"/>
                      </w:divBdr>
                      <w:divsChild>
                        <w:div w:id="259072215">
                          <w:marLeft w:val="0"/>
                          <w:marRight w:val="0"/>
                          <w:marTop w:val="100"/>
                          <w:marBottom w:val="100"/>
                          <w:divBdr>
                            <w:top w:val="none" w:sz="0" w:space="0" w:color="auto"/>
                            <w:left w:val="none" w:sz="0" w:space="0" w:color="auto"/>
                            <w:bottom w:val="none" w:sz="0" w:space="0" w:color="auto"/>
                            <w:right w:val="none" w:sz="0" w:space="0" w:color="auto"/>
                          </w:divBdr>
                          <w:divsChild>
                            <w:div w:id="1266228152">
                              <w:marLeft w:val="0"/>
                              <w:marRight w:val="0"/>
                              <w:marTop w:val="0"/>
                              <w:marBottom w:val="0"/>
                              <w:divBdr>
                                <w:top w:val="none" w:sz="0" w:space="0" w:color="auto"/>
                                <w:left w:val="none" w:sz="0" w:space="0" w:color="auto"/>
                                <w:bottom w:val="none" w:sz="0" w:space="0" w:color="auto"/>
                                <w:right w:val="none" w:sz="0" w:space="0" w:color="auto"/>
                              </w:divBdr>
                            </w:div>
                            <w:div w:id="238558264">
                              <w:marLeft w:val="750"/>
                              <w:marRight w:val="750"/>
                              <w:marTop w:val="0"/>
                              <w:marBottom w:val="0"/>
                              <w:divBdr>
                                <w:top w:val="none" w:sz="0" w:space="0" w:color="auto"/>
                                <w:left w:val="none" w:sz="0" w:space="0" w:color="auto"/>
                                <w:bottom w:val="none" w:sz="0" w:space="0" w:color="auto"/>
                                <w:right w:val="none" w:sz="0" w:space="0" w:color="auto"/>
                              </w:divBdr>
                              <w:divsChild>
                                <w:div w:id="443034714">
                                  <w:marLeft w:val="0"/>
                                  <w:marRight w:val="0"/>
                                  <w:marTop w:val="0"/>
                                  <w:marBottom w:val="0"/>
                                  <w:divBdr>
                                    <w:top w:val="none" w:sz="0" w:space="0" w:color="auto"/>
                                    <w:left w:val="none" w:sz="0" w:space="0" w:color="auto"/>
                                    <w:bottom w:val="none" w:sz="0" w:space="0" w:color="auto"/>
                                    <w:right w:val="none" w:sz="0" w:space="0" w:color="auto"/>
                                  </w:divBdr>
                                </w:div>
                                <w:div w:id="2129544153">
                                  <w:marLeft w:val="0"/>
                                  <w:marRight w:val="0"/>
                                  <w:marTop w:val="0"/>
                                  <w:marBottom w:val="0"/>
                                  <w:divBdr>
                                    <w:top w:val="none" w:sz="0" w:space="0" w:color="auto"/>
                                    <w:left w:val="none" w:sz="0" w:space="0" w:color="auto"/>
                                    <w:bottom w:val="none" w:sz="0" w:space="0" w:color="auto"/>
                                    <w:right w:val="none" w:sz="0" w:space="0" w:color="auto"/>
                                  </w:divBdr>
                                </w:div>
                                <w:div w:id="149369259">
                                  <w:marLeft w:val="0"/>
                                  <w:marRight w:val="0"/>
                                  <w:marTop w:val="0"/>
                                  <w:marBottom w:val="0"/>
                                  <w:divBdr>
                                    <w:top w:val="none" w:sz="0" w:space="0" w:color="auto"/>
                                    <w:left w:val="none" w:sz="0" w:space="0" w:color="auto"/>
                                    <w:bottom w:val="none" w:sz="0" w:space="0" w:color="auto"/>
                                    <w:right w:val="none" w:sz="0" w:space="0" w:color="auto"/>
                                  </w:divBdr>
                                </w:div>
                                <w:div w:id="1983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38714">
      <w:bodyDiv w:val="1"/>
      <w:marLeft w:val="0"/>
      <w:marRight w:val="0"/>
      <w:marTop w:val="0"/>
      <w:marBottom w:val="0"/>
      <w:divBdr>
        <w:top w:val="none" w:sz="0" w:space="0" w:color="auto"/>
        <w:left w:val="none" w:sz="0" w:space="0" w:color="auto"/>
        <w:bottom w:val="none" w:sz="0" w:space="0" w:color="auto"/>
        <w:right w:val="none" w:sz="0" w:space="0" w:color="auto"/>
      </w:divBdr>
    </w:div>
    <w:div w:id="19172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file:///\\WFC.uwoad.it.uwosh.edu\Shared\Grants%20&amp;%20Faculty%20Development\IBC%20Administration\IBC\Training\CITI%20Biosafety%20Training\Training%20Instructions\www.citiprogram.org" TargetMode="Externa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Kelly Schill</cp:lastModifiedBy>
  <cp:revision>2</cp:revision>
  <dcterms:created xsi:type="dcterms:W3CDTF">2021-02-09T16:45:00Z</dcterms:created>
  <dcterms:modified xsi:type="dcterms:W3CDTF">2021-02-09T16:45:00Z</dcterms:modified>
</cp:coreProperties>
</file>